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E8" w:rsidRDefault="00D00C8F" w:rsidP="000A4E7E">
      <w:pPr>
        <w:tabs>
          <w:tab w:val="left" w:pos="8640"/>
        </w:tabs>
        <w:jc w:val="center"/>
        <w:rPr>
          <w:rFonts w:ascii="Arial" w:hAnsi="Arial" w:cs="Arial"/>
          <w:sz w:val="32"/>
          <w:szCs w:val="32"/>
        </w:rPr>
      </w:pPr>
      <w:r w:rsidRPr="00D00C8F">
        <w:rPr>
          <w:rFonts w:ascii="Arial" w:hAnsi="Arial" w:cs="Arial"/>
          <w:sz w:val="32"/>
          <w:szCs w:val="32"/>
        </w:rPr>
        <w:t>Force Field Analysis</w:t>
      </w:r>
      <w:r w:rsidR="001B62E8">
        <w:rPr>
          <w:rFonts w:ascii="Arial" w:hAnsi="Arial" w:cs="Arial"/>
          <w:sz w:val="32"/>
          <w:szCs w:val="32"/>
        </w:rPr>
        <w:t>-</w:t>
      </w:r>
      <w:r w:rsidR="00BE7111">
        <w:rPr>
          <w:rFonts w:ascii="Arial" w:hAnsi="Arial" w:cs="Arial"/>
          <w:sz w:val="32"/>
          <w:szCs w:val="32"/>
        </w:rPr>
        <w:t>IMM’s</w:t>
      </w:r>
    </w:p>
    <w:p w:rsidR="00584ED6" w:rsidRDefault="000A4E7E" w:rsidP="0095355B">
      <w:pPr>
        <w:tabs>
          <w:tab w:val="left" w:pos="8640"/>
        </w:tabs>
        <w:ind w:left="8640" w:hanging="8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A4E7E">
        <w:rPr>
          <w:rFonts w:ascii="Arial" w:hAnsi="Arial" w:cs="Arial"/>
          <w:sz w:val="24"/>
          <w:szCs w:val="24"/>
        </w:rPr>
        <w:t xml:space="preserve">urrent State: </w:t>
      </w:r>
      <w:r w:rsidR="00C13DC6">
        <w:rPr>
          <w:rFonts w:ascii="Arial" w:hAnsi="Arial" w:cs="Arial"/>
          <w:sz w:val="24"/>
          <w:szCs w:val="24"/>
        </w:rPr>
        <w:t xml:space="preserve">Approximately 50% are competent                                      </w:t>
      </w:r>
      <w:r w:rsidR="00D00C8F">
        <w:rPr>
          <w:rFonts w:ascii="Arial" w:hAnsi="Arial" w:cs="Arial"/>
          <w:sz w:val="24"/>
          <w:szCs w:val="24"/>
        </w:rPr>
        <w:t xml:space="preserve">Ideal State: </w:t>
      </w:r>
      <w:r w:rsidR="00C13DC6">
        <w:rPr>
          <w:rFonts w:ascii="Arial" w:hAnsi="Arial" w:cs="Arial"/>
          <w:sz w:val="24"/>
          <w:szCs w:val="24"/>
        </w:rPr>
        <w:t>100% of PHN are competent in IMMs by 7/1/11</w:t>
      </w:r>
    </w:p>
    <w:p w:rsidR="006B393B" w:rsidRDefault="00C64C2E" w:rsidP="006B393B">
      <w:pPr>
        <w:tabs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0.5pt;margin-top:7.6pt;width:3pt;height:364.5pt;z-index:25165824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7.75pt;margin-top:7.6pt;width:135.75pt;height:26.25pt;z-index:251660288">
            <v:textbox style="mso-next-textbox:#_x0000_s1028">
              <w:txbxContent>
                <w:p w:rsidR="00424352" w:rsidRPr="00E90729" w:rsidRDefault="00424352" w:rsidP="004243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72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Restraining Forces -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178.5pt;margin-top:7.6pt;width:115.5pt;height:26.25pt;z-index:251659264">
            <v:textbox style="mso-next-textbox:#_x0000_s1027">
              <w:txbxContent>
                <w:p w:rsidR="00E90729" w:rsidRPr="00E90729" w:rsidRDefault="00E907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0729">
                    <w:rPr>
                      <w:rFonts w:ascii="Arial" w:hAnsi="Arial" w:cs="Arial"/>
                      <w:sz w:val="24"/>
                      <w:szCs w:val="24"/>
                    </w:rPr>
                    <w:t xml:space="preserve">+ Driving </w:t>
                  </w:r>
                  <w:r w:rsidR="00424352">
                    <w:rPr>
                      <w:rFonts w:ascii="Arial" w:hAnsi="Arial" w:cs="Arial"/>
                      <w:sz w:val="24"/>
                      <w:szCs w:val="24"/>
                    </w:rPr>
                    <w:t>Forces</w:t>
                  </w:r>
                </w:p>
              </w:txbxContent>
            </v:textbox>
          </v:shape>
        </w:pict>
      </w:r>
    </w:p>
    <w:p w:rsidR="006B393B" w:rsidRDefault="006B393B" w:rsidP="006B393B">
      <w:pPr>
        <w:tabs>
          <w:tab w:val="left" w:pos="8640"/>
        </w:tabs>
        <w:spacing w:after="0"/>
        <w:rPr>
          <w:rFonts w:ascii="Arial" w:hAnsi="Arial" w:cs="Arial"/>
          <w:sz w:val="24"/>
          <w:szCs w:val="24"/>
        </w:rPr>
      </w:pPr>
    </w:p>
    <w:p w:rsidR="006B393B" w:rsidRPr="00D00C8F" w:rsidRDefault="00C64C2E" w:rsidP="006B393B">
      <w:pPr>
        <w:tabs>
          <w:tab w:val="left" w:pos="8640"/>
        </w:tabs>
        <w:spacing w:after="0"/>
        <w:rPr>
          <w:rFonts w:ascii="Arial" w:hAnsi="Arial" w:cs="Arial"/>
          <w:sz w:val="24"/>
          <w:szCs w:val="24"/>
        </w:rPr>
      </w:pPr>
      <w:r w:rsidRPr="00C64C2E">
        <w:rPr>
          <w:rFonts w:ascii="Arial" w:hAnsi="Arial" w:cs="Arial"/>
          <w:noProof/>
          <w:sz w:val="32"/>
          <w:szCs w:val="32"/>
          <w:lang w:eastAsia="zh-TW"/>
        </w:rPr>
        <w:pict>
          <v:shape id="_x0000_s1030" type="#_x0000_t202" style="position:absolute;margin-left:7.85pt;margin-top:22.6pt;width:266.55pt;height:367.55pt;z-index:251662336;mso-width-relative:margin;mso-height-relative:margin">
            <v:textbox style="mso-next-textbox:#_x0000_s1030">
              <w:txbxContent>
                <w:p w:rsidR="0095355B" w:rsidRDefault="00C13DC6" w:rsidP="00C13DC6">
                  <w:pPr>
                    <w:spacing w:after="120"/>
                  </w:pPr>
                  <w:r>
                    <w:t>1. Prevent disease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2. Providing services to under &amp; uninsured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3. Immunizing Kane County children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Technical experts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Helps professional growth &amp; career development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Valuable community resource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Fulfill grant deliverable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Variation in nursing judgment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Supportive experts</w:t>
                  </w:r>
                </w:p>
              </w:txbxContent>
            </v:textbox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31" type="#_x0000_t202" style="position:absolute;margin-left:392.8pt;margin-top:22.6pt;width:279.55pt;height:367.55pt;z-index:251663360;mso-width-relative:margin;mso-height-relative:margin">
            <v:textbox style="mso-next-textbox:#_x0000_s1031">
              <w:txbxContent>
                <w:p w:rsidR="000A4E7E" w:rsidRDefault="00E53E7B" w:rsidP="00E53E7B">
                  <w:pPr>
                    <w:spacing w:after="120"/>
                  </w:pPr>
                  <w:r>
                    <w:t xml:space="preserve">1. </w:t>
                  </w:r>
                  <w:r w:rsidR="00C13DC6">
                    <w:t>Competing priorities</w:t>
                  </w:r>
                </w:p>
                <w:p w:rsidR="001B62E8" w:rsidRDefault="00E53E7B" w:rsidP="00E53E7B">
                  <w:pPr>
                    <w:spacing w:after="120"/>
                  </w:pPr>
                  <w:r>
                    <w:t xml:space="preserve">2. </w:t>
                  </w:r>
                  <w:r w:rsidR="00C13DC6">
                    <w:t>Unique IMM situations</w:t>
                  </w:r>
                </w:p>
                <w:p w:rsidR="001B62E8" w:rsidRDefault="001B62E8" w:rsidP="00C13DC6">
                  <w:pPr>
                    <w:spacing w:after="120"/>
                  </w:pPr>
                  <w:r>
                    <w:t xml:space="preserve">3. </w:t>
                  </w:r>
                  <w:r w:rsidR="00C13DC6">
                    <w:t>Number of learning opportunities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Time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Variation in nursing judgment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Past embarrassment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Fear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Parenting attitudes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Learning curve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Bad experiences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Legal concerns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Clients not bringing records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Incomplete records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Alternate IMM schedules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Language barriers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Different learning styles</w:t>
                  </w:r>
                </w:p>
                <w:p w:rsidR="00C13DC6" w:rsidRDefault="00C13DC6" w:rsidP="00C13DC6">
                  <w:pPr>
                    <w:spacing w:after="120"/>
                  </w:pPr>
                  <w:r>
                    <w:t>Lack of confidence</w:t>
                  </w:r>
                </w:p>
                <w:p w:rsidR="00C13DC6" w:rsidRDefault="00C13DC6" w:rsidP="00C13DC6">
                  <w:pPr>
                    <w:spacing w:after="120"/>
                  </w:pPr>
                </w:p>
                <w:p w:rsidR="00C13DC6" w:rsidRDefault="00C13DC6" w:rsidP="00C13DC6">
                  <w:pPr>
                    <w:spacing w:after="120"/>
                  </w:pPr>
                </w:p>
                <w:p w:rsidR="00C13DC6" w:rsidRDefault="00C13DC6" w:rsidP="00C13DC6">
                  <w:pPr>
                    <w:spacing w:after="120"/>
                  </w:pPr>
                </w:p>
                <w:p w:rsidR="00E53E7B" w:rsidRDefault="00E53E7B" w:rsidP="001B62E8">
                  <w:pPr>
                    <w:spacing w:after="120"/>
                  </w:pPr>
                  <w:r>
                    <w:t xml:space="preserve"> </w:t>
                  </w:r>
                </w:p>
                <w:p w:rsidR="00E53E7B" w:rsidRDefault="00E53E7B" w:rsidP="00E53E7B">
                  <w:pPr>
                    <w:spacing w:after="120"/>
                  </w:pPr>
                </w:p>
                <w:p w:rsidR="00E53E7B" w:rsidRPr="0095355B" w:rsidRDefault="00E53E7B" w:rsidP="00E53E7B">
                  <w:pPr>
                    <w:spacing w:after="120"/>
                  </w:pPr>
                </w:p>
              </w:txbxContent>
            </v:textbox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45" type="#_x0000_t32" style="position:absolute;margin-left:345.25pt;margin-top:113.75pt;width:42.9pt;height:0;flip:x;z-index:251677696" o:connectortype="straight">
            <v:stroke endarrow="block"/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44" type="#_x0000_t32" style="position:absolute;margin-left:343.5pt;margin-top:99.35pt;width:42.9pt;height:0;flip:x;z-index:251676672" o:connectortype="straight">
            <v:stroke endarrow="block"/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43" type="#_x0000_t32" style="position:absolute;margin-left:343.5pt;margin-top:84.95pt;width:42.9pt;height:0;flip:x;z-index:251675648" o:connectortype="straight">
            <v:stroke endarrow="block"/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42" type="#_x0000_t32" style="position:absolute;margin-left:343.5pt;margin-top:69.75pt;width:42.9pt;height:0;flip:x;z-index:251674624" o:connectortype="straight">
            <v:stroke endarrow="block"/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41" type="#_x0000_t32" style="position:absolute;margin-left:343.5pt;margin-top:57.75pt;width:42.9pt;height:0;flip:x;z-index:251673600" o:connectortype="straight">
            <v:stroke endarrow="block"/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40" type="#_x0000_t32" style="position:absolute;margin-left:343.5pt;margin-top:45.75pt;width:42.9pt;height:0;flip:x;z-index:251672576" o:connectortype="straight">
            <v:stroke endarrow="block"/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39" type="#_x0000_t32" style="position:absolute;margin-left:343.5pt;margin-top:33.75pt;width:42.9pt;height:0;flip:x;z-index:251671552" o:connectortype="straight">
            <v:stroke endarrow="block"/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36" type="#_x0000_t32" style="position:absolute;margin-left:280.8pt;margin-top:113.75pt;width:50.4pt;height:0;z-index:251668480" o:connectortype="straight">
            <v:stroke endarrow="block"/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37" type="#_x0000_t32" style="position:absolute;margin-left:280.8pt;margin-top:99.35pt;width:50.4pt;height:0;z-index:251669504" o:connectortype="straight">
            <v:stroke endarrow="block"/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38" type="#_x0000_t32" style="position:absolute;margin-left:280.8pt;margin-top:84.95pt;width:50.4pt;height:0;z-index:251670528" o:connectortype="straight">
            <v:stroke endarrow="block"/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35" type="#_x0000_t32" style="position:absolute;margin-left:280.8pt;margin-top:71.35pt;width:50.4pt;height:0;z-index:251667456" o:connectortype="straight">
            <v:stroke endarrow="block"/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34" type="#_x0000_t32" style="position:absolute;margin-left:280.8pt;margin-top:56.95pt;width:50.4pt;height:0;z-index:251666432" o:connectortype="straight">
            <v:stroke endarrow="block"/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33" type="#_x0000_t32" style="position:absolute;margin-left:280.8pt;margin-top:45.75pt;width:50.4pt;height:0;z-index:251665408" o:connectortype="straight">
            <v:stroke endarrow="block"/>
          </v:shape>
        </w:pict>
      </w:r>
      <w:r w:rsidRPr="00C64C2E">
        <w:rPr>
          <w:rFonts w:ascii="Arial" w:hAnsi="Arial" w:cs="Arial"/>
          <w:noProof/>
          <w:sz w:val="32"/>
          <w:szCs w:val="32"/>
        </w:rPr>
        <w:pict>
          <v:shape id="_x0000_s1032" type="#_x0000_t32" style="position:absolute;margin-left:280.8pt;margin-top:33.75pt;width:50.4pt;height:0;z-index:251664384" o:connectortype="straight">
            <v:stroke endarrow="block"/>
          </v:shape>
        </w:pict>
      </w:r>
      <w:r w:rsidR="00963BD1">
        <w:rPr>
          <w:rFonts w:ascii="Arial" w:hAnsi="Arial" w:cs="Arial"/>
          <w:sz w:val="24"/>
          <w:szCs w:val="24"/>
        </w:rPr>
        <w:t>_________________________________________________________________________________________________</w:t>
      </w:r>
      <w:r w:rsidR="0095355B">
        <w:rPr>
          <w:rFonts w:ascii="Arial" w:hAnsi="Arial" w:cs="Arial"/>
          <w:sz w:val="24"/>
          <w:szCs w:val="24"/>
        </w:rPr>
        <w:t>____</w:t>
      </w:r>
    </w:p>
    <w:sectPr w:rsidR="006B393B" w:rsidRPr="00D00C8F" w:rsidSect="000A4E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E4F"/>
    <w:multiLevelType w:val="hybridMultilevel"/>
    <w:tmpl w:val="3C94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6C74"/>
    <w:multiLevelType w:val="hybridMultilevel"/>
    <w:tmpl w:val="21D0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005E"/>
    <w:multiLevelType w:val="hybridMultilevel"/>
    <w:tmpl w:val="1FA0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6FB5"/>
    <w:multiLevelType w:val="hybridMultilevel"/>
    <w:tmpl w:val="6934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B44EE"/>
    <w:multiLevelType w:val="hybridMultilevel"/>
    <w:tmpl w:val="2D52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14F"/>
    <w:rsid w:val="000A4E7E"/>
    <w:rsid w:val="001B62E8"/>
    <w:rsid w:val="001E30ED"/>
    <w:rsid w:val="002B4711"/>
    <w:rsid w:val="002C714F"/>
    <w:rsid w:val="003B6A78"/>
    <w:rsid w:val="00424352"/>
    <w:rsid w:val="00444618"/>
    <w:rsid w:val="00584ED6"/>
    <w:rsid w:val="005C2BBC"/>
    <w:rsid w:val="006B393B"/>
    <w:rsid w:val="00760586"/>
    <w:rsid w:val="00812492"/>
    <w:rsid w:val="00832A1A"/>
    <w:rsid w:val="008406EB"/>
    <w:rsid w:val="00867B17"/>
    <w:rsid w:val="0095355B"/>
    <w:rsid w:val="00963BD1"/>
    <w:rsid w:val="009B45D1"/>
    <w:rsid w:val="00B45E88"/>
    <w:rsid w:val="00B95207"/>
    <w:rsid w:val="00BE7111"/>
    <w:rsid w:val="00C13DC6"/>
    <w:rsid w:val="00C64C2E"/>
    <w:rsid w:val="00C66E2D"/>
    <w:rsid w:val="00CD527B"/>
    <w:rsid w:val="00D00C8F"/>
    <w:rsid w:val="00D36EA3"/>
    <w:rsid w:val="00D41438"/>
    <w:rsid w:val="00D6015F"/>
    <w:rsid w:val="00D97249"/>
    <w:rsid w:val="00DC2AD9"/>
    <w:rsid w:val="00E12FC8"/>
    <w:rsid w:val="00E53E7B"/>
    <w:rsid w:val="00E90729"/>
    <w:rsid w:val="00F46BD8"/>
    <w:rsid w:val="00FF1A03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41"/>
        <o:r id="V:Rule17" type="connector" idref="#_x0000_s1036"/>
        <o:r id="V:Rule18" type="connector" idref="#_x0000_s1034"/>
        <o:r id="V:Rule19" type="connector" idref="#_x0000_s1032"/>
        <o:r id="V:Rule20" type="connector" idref="#_x0000_s1026"/>
        <o:r id="V:Rule21" type="connector" idref="#_x0000_s1038"/>
        <o:r id="V:Rule22" type="connector" idref="#_x0000_s1044"/>
        <o:r id="V:Rule23" type="connector" idref="#_x0000_s1037"/>
        <o:r id="V:Rule24" type="connector" idref="#_x0000_s1033"/>
        <o:r id="V:Rule25" type="connector" idref="#_x0000_s1042"/>
        <o:r id="V:Rule26" type="connector" idref="#_x0000_s1045"/>
        <o:r id="V:Rule27" type="connector" idref="#_x0000_s1040"/>
        <o:r id="V:Rule28" type="connector" idref="#_x0000_s1043"/>
        <o:r id="V:Rule29" type="connector" idref="#_x0000_s1035"/>
        <o:r id="V:Rule3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7040-7FEB-4936-93D2-24862E84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Mason</dc:creator>
  <cp:keywords/>
  <dc:description/>
  <cp:lastModifiedBy>phdjs</cp:lastModifiedBy>
  <cp:revision>2</cp:revision>
  <dcterms:created xsi:type="dcterms:W3CDTF">2011-04-01T13:50:00Z</dcterms:created>
  <dcterms:modified xsi:type="dcterms:W3CDTF">2011-04-01T13:50:00Z</dcterms:modified>
</cp:coreProperties>
</file>