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89" w:rsidRDefault="00590689">
      <w:pPr>
        <w:rPr>
          <w:rFonts w:ascii="Arial" w:hAnsi="Arial" w:cs="Arial"/>
          <w:sz w:val="24"/>
          <w:szCs w:val="24"/>
        </w:rPr>
      </w:pPr>
    </w:p>
    <w:p w:rsidR="009A010A" w:rsidRPr="008B6BF2" w:rsidRDefault="00590689" w:rsidP="005906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0689">
        <w:rPr>
          <w:rFonts w:ascii="Arial" w:hAnsi="Arial" w:cs="Arial"/>
          <w:b/>
          <w:sz w:val="28"/>
          <w:szCs w:val="28"/>
          <w:u w:val="single"/>
        </w:rPr>
        <w:t>Code Enforcement QI Project Update</w:t>
      </w:r>
    </w:p>
    <w:p w:rsidR="00590689" w:rsidRDefault="00590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•Code Enforcement responds to reports of solid waste </w:t>
      </w:r>
      <w:r w:rsidR="008B6BF2">
        <w:rPr>
          <w:rFonts w:ascii="Arial" w:hAnsi="Arial" w:cs="Arial"/>
          <w:sz w:val="24"/>
          <w:szCs w:val="24"/>
        </w:rPr>
        <w:t xml:space="preserve">and on-site sewage issues.  </w:t>
      </w:r>
      <w:r w:rsidR="008D25CE">
        <w:rPr>
          <w:rFonts w:ascii="Arial" w:hAnsi="Arial" w:cs="Arial"/>
          <w:sz w:val="24"/>
          <w:szCs w:val="24"/>
        </w:rPr>
        <w:t xml:space="preserve">Our role is a function of state law and Board of Health regulations.  Issues range from </w:t>
      </w:r>
      <w:r w:rsidR="008B6BF2">
        <w:rPr>
          <w:rFonts w:ascii="Arial" w:hAnsi="Arial" w:cs="Arial"/>
          <w:sz w:val="24"/>
          <w:szCs w:val="24"/>
        </w:rPr>
        <w:t xml:space="preserve">illegal dumping or improper storage of solid waste to septic systems </w:t>
      </w:r>
      <w:r w:rsidR="008D25CE">
        <w:rPr>
          <w:rFonts w:ascii="Arial" w:hAnsi="Arial" w:cs="Arial"/>
          <w:sz w:val="24"/>
          <w:szCs w:val="24"/>
        </w:rPr>
        <w:t xml:space="preserve">that are </w:t>
      </w:r>
      <w:r w:rsidR="008B6BF2">
        <w:rPr>
          <w:rFonts w:ascii="Arial" w:hAnsi="Arial" w:cs="Arial"/>
          <w:sz w:val="24"/>
          <w:szCs w:val="24"/>
        </w:rPr>
        <w:t>actively failing and discharging sewage to streets,</w:t>
      </w:r>
      <w:r w:rsidR="009A010A">
        <w:rPr>
          <w:rFonts w:ascii="Arial" w:hAnsi="Arial" w:cs="Arial"/>
          <w:sz w:val="24"/>
          <w:szCs w:val="24"/>
        </w:rPr>
        <w:t xml:space="preserve"> neighborhoods, and waterways.</w:t>
      </w:r>
    </w:p>
    <w:p w:rsidR="009A010A" w:rsidRDefault="009A0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•Timely response and resolution of these issues is important for public health reasons—few things are more fundamental to public health than proper waste and sewage management</w:t>
      </w:r>
      <w:r w:rsidR="009F3192">
        <w:rPr>
          <w:rFonts w:ascii="Arial" w:hAnsi="Arial" w:cs="Arial"/>
          <w:sz w:val="24"/>
          <w:szCs w:val="24"/>
        </w:rPr>
        <w:t xml:space="preserve">.  Timely response is also quite </w:t>
      </w:r>
      <w:r>
        <w:rPr>
          <w:rFonts w:ascii="Arial" w:hAnsi="Arial" w:cs="Arial"/>
          <w:sz w:val="24"/>
          <w:szCs w:val="24"/>
        </w:rPr>
        <w:t>important to complainan</w:t>
      </w:r>
      <w:r w:rsidR="009F3192">
        <w:rPr>
          <w:rFonts w:ascii="Arial" w:hAnsi="Arial" w:cs="Arial"/>
          <w:sz w:val="24"/>
          <w:szCs w:val="24"/>
        </w:rPr>
        <w:t xml:space="preserve">ts, </w:t>
      </w:r>
      <w:r w:rsidR="008D25CE">
        <w:rPr>
          <w:rFonts w:ascii="Arial" w:hAnsi="Arial" w:cs="Arial"/>
          <w:sz w:val="24"/>
          <w:szCs w:val="24"/>
        </w:rPr>
        <w:t>the community</w:t>
      </w:r>
      <w:r w:rsidR="009F3192">
        <w:rPr>
          <w:rFonts w:ascii="Arial" w:hAnsi="Arial" w:cs="Arial"/>
          <w:sz w:val="24"/>
          <w:szCs w:val="24"/>
        </w:rPr>
        <w:t>, and elected officials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B6BF2" w:rsidRDefault="008B6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•The Code Enforcement group consists of four field staff, a team lead, and</w:t>
      </w:r>
      <w:r w:rsidR="009F3192">
        <w:rPr>
          <w:rFonts w:ascii="Arial" w:hAnsi="Arial" w:cs="Arial"/>
          <w:sz w:val="24"/>
          <w:szCs w:val="24"/>
        </w:rPr>
        <w:t xml:space="preserve"> &lt;1</w:t>
      </w:r>
      <w:r>
        <w:rPr>
          <w:rFonts w:ascii="Arial" w:hAnsi="Arial" w:cs="Arial"/>
          <w:sz w:val="24"/>
          <w:szCs w:val="24"/>
        </w:rPr>
        <w:t xml:space="preserve"> support staff</w:t>
      </w:r>
      <w:r w:rsidR="009A010A">
        <w:rPr>
          <w:rFonts w:ascii="Arial" w:hAnsi="Arial" w:cs="Arial"/>
          <w:sz w:val="24"/>
          <w:szCs w:val="24"/>
        </w:rPr>
        <w:t xml:space="preserve"> position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9A010A" w:rsidRDefault="00103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18.5pt;margin-top:7.25pt;width:229.5pt;height:0;z-index:251671552" o:connectortype="straight" strokeweight="1.25pt"/>
        </w:pict>
      </w:r>
    </w:p>
    <w:p w:rsidR="00590689" w:rsidRDefault="000C2191">
      <w:pPr>
        <w:rPr>
          <w:rFonts w:ascii="Arial" w:hAnsi="Arial" w:cs="Arial"/>
          <w:sz w:val="24"/>
          <w:szCs w:val="24"/>
        </w:rPr>
      </w:pPr>
      <w:r w:rsidRPr="00203FBF">
        <w:rPr>
          <w:rFonts w:ascii="Arial" w:hAnsi="Arial" w:cs="Arial"/>
          <w:sz w:val="24"/>
          <w:szCs w:val="24"/>
        </w:rPr>
        <w:t>•</w:t>
      </w:r>
      <w:r w:rsidR="00BA5ABB">
        <w:rPr>
          <w:rFonts w:ascii="Arial" w:hAnsi="Arial" w:cs="Arial"/>
          <w:sz w:val="24"/>
          <w:szCs w:val="24"/>
        </w:rPr>
        <w:t>EH/</w:t>
      </w:r>
      <w:r w:rsidRPr="00203FBF">
        <w:rPr>
          <w:rFonts w:ascii="Arial" w:hAnsi="Arial" w:cs="Arial"/>
          <w:sz w:val="24"/>
          <w:szCs w:val="24"/>
        </w:rPr>
        <w:t xml:space="preserve">Code Enforcement participated in a 2010 QI project to increase the rate of timely first inspections for </w:t>
      </w:r>
      <w:r w:rsidRPr="008D25CE">
        <w:rPr>
          <w:rFonts w:ascii="Arial" w:hAnsi="Arial" w:cs="Arial"/>
          <w:i/>
          <w:sz w:val="24"/>
          <w:szCs w:val="24"/>
        </w:rPr>
        <w:t>solid waste</w:t>
      </w:r>
      <w:r w:rsidRPr="00203FBF">
        <w:rPr>
          <w:rFonts w:ascii="Arial" w:hAnsi="Arial" w:cs="Arial"/>
          <w:sz w:val="24"/>
          <w:szCs w:val="24"/>
        </w:rPr>
        <w:t xml:space="preserve"> complaints.  </w:t>
      </w:r>
      <w:r w:rsidR="00590689">
        <w:rPr>
          <w:rFonts w:ascii="Arial" w:hAnsi="Arial" w:cs="Arial"/>
          <w:sz w:val="24"/>
          <w:szCs w:val="24"/>
        </w:rPr>
        <w:t>The project support</w:t>
      </w:r>
      <w:r w:rsidR="009F3192">
        <w:rPr>
          <w:rFonts w:ascii="Arial" w:hAnsi="Arial" w:cs="Arial"/>
          <w:sz w:val="24"/>
          <w:szCs w:val="24"/>
        </w:rPr>
        <w:t>ed</w:t>
      </w:r>
      <w:r w:rsidR="00590689">
        <w:rPr>
          <w:rFonts w:ascii="Arial" w:hAnsi="Arial" w:cs="Arial"/>
          <w:sz w:val="24"/>
          <w:szCs w:val="24"/>
        </w:rPr>
        <w:t xml:space="preserve"> the performance measure ‘</w:t>
      </w:r>
      <w:r w:rsidR="00590689" w:rsidRPr="00AB7D2D">
        <w:rPr>
          <w:rFonts w:ascii="Arial" w:hAnsi="Arial" w:cs="Arial"/>
          <w:b/>
          <w:sz w:val="24"/>
          <w:szCs w:val="24"/>
        </w:rPr>
        <w:t xml:space="preserve">80% of first inspections </w:t>
      </w:r>
      <w:r w:rsidR="00590689">
        <w:rPr>
          <w:rFonts w:ascii="Arial" w:hAnsi="Arial" w:cs="Arial"/>
          <w:b/>
          <w:sz w:val="24"/>
          <w:szCs w:val="24"/>
        </w:rPr>
        <w:t xml:space="preserve">occur </w:t>
      </w:r>
      <w:r w:rsidR="00590689" w:rsidRPr="00AB7D2D">
        <w:rPr>
          <w:rFonts w:ascii="Arial" w:hAnsi="Arial" w:cs="Arial"/>
          <w:b/>
          <w:sz w:val="24"/>
          <w:szCs w:val="24"/>
        </w:rPr>
        <w:t>within 20 days</w:t>
      </w:r>
      <w:r w:rsidR="00590689">
        <w:rPr>
          <w:rFonts w:ascii="Arial" w:hAnsi="Arial" w:cs="Arial"/>
          <w:b/>
          <w:sz w:val="24"/>
          <w:szCs w:val="24"/>
        </w:rPr>
        <w:t xml:space="preserve"> </w:t>
      </w:r>
      <w:r w:rsidR="00590689" w:rsidRPr="009F3192">
        <w:rPr>
          <w:rFonts w:ascii="Arial" w:hAnsi="Arial" w:cs="Arial"/>
          <w:b/>
          <w:sz w:val="24"/>
          <w:szCs w:val="24"/>
        </w:rPr>
        <w:t xml:space="preserve">[of receipt of </w:t>
      </w:r>
      <w:r w:rsidR="008D25CE" w:rsidRPr="009F3192">
        <w:rPr>
          <w:rFonts w:ascii="Arial" w:hAnsi="Arial" w:cs="Arial"/>
          <w:b/>
          <w:sz w:val="24"/>
          <w:szCs w:val="24"/>
        </w:rPr>
        <w:t xml:space="preserve">a solid waste </w:t>
      </w:r>
      <w:r w:rsidR="00590689" w:rsidRPr="009F3192">
        <w:rPr>
          <w:rFonts w:ascii="Arial" w:hAnsi="Arial" w:cs="Arial"/>
          <w:b/>
          <w:sz w:val="24"/>
          <w:szCs w:val="24"/>
        </w:rPr>
        <w:t>complaint</w:t>
      </w:r>
      <w:r w:rsidR="00590689" w:rsidRPr="009A010A">
        <w:rPr>
          <w:rFonts w:ascii="Arial" w:hAnsi="Arial" w:cs="Arial"/>
          <w:sz w:val="24"/>
          <w:szCs w:val="24"/>
        </w:rPr>
        <w:t>]</w:t>
      </w:r>
      <w:r w:rsidR="00590689">
        <w:rPr>
          <w:rFonts w:ascii="Arial" w:hAnsi="Arial" w:cs="Arial"/>
          <w:b/>
          <w:sz w:val="24"/>
          <w:szCs w:val="24"/>
        </w:rPr>
        <w:t>’</w:t>
      </w:r>
      <w:r w:rsidR="00590689" w:rsidRPr="00203FBF">
        <w:rPr>
          <w:rFonts w:ascii="Arial" w:hAnsi="Arial" w:cs="Arial"/>
          <w:sz w:val="24"/>
          <w:szCs w:val="24"/>
        </w:rPr>
        <w:t xml:space="preserve">.  </w:t>
      </w:r>
    </w:p>
    <w:p w:rsidR="009A010A" w:rsidRDefault="00590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•As reported </w:t>
      </w:r>
      <w:r w:rsidR="008D25CE">
        <w:rPr>
          <w:rFonts w:ascii="Arial" w:hAnsi="Arial" w:cs="Arial"/>
          <w:sz w:val="24"/>
          <w:szCs w:val="24"/>
        </w:rPr>
        <w:t xml:space="preserve">to QIC </w:t>
      </w:r>
      <w:r w:rsidR="000C2191" w:rsidRPr="00203FBF">
        <w:rPr>
          <w:rFonts w:ascii="Arial" w:hAnsi="Arial" w:cs="Arial"/>
          <w:sz w:val="24"/>
          <w:szCs w:val="24"/>
        </w:rPr>
        <w:t>Spring</w:t>
      </w:r>
      <w:r>
        <w:rPr>
          <w:rFonts w:ascii="Arial" w:hAnsi="Arial" w:cs="Arial"/>
          <w:sz w:val="24"/>
          <w:szCs w:val="24"/>
        </w:rPr>
        <w:t xml:space="preserve"> 2010 we were </w:t>
      </w:r>
      <w:r w:rsidR="009A010A">
        <w:rPr>
          <w:rFonts w:ascii="Arial" w:hAnsi="Arial" w:cs="Arial"/>
          <w:sz w:val="24"/>
          <w:szCs w:val="24"/>
        </w:rPr>
        <w:t xml:space="preserve">able to develop and implement </w:t>
      </w:r>
      <w:r>
        <w:rPr>
          <w:rFonts w:ascii="Arial" w:hAnsi="Arial" w:cs="Arial"/>
          <w:sz w:val="24"/>
          <w:szCs w:val="24"/>
        </w:rPr>
        <w:t xml:space="preserve">process changes and meet/exceed this </w:t>
      </w:r>
      <w:r w:rsidR="000C2191" w:rsidRPr="00203FBF">
        <w:rPr>
          <w:rFonts w:ascii="Arial" w:hAnsi="Arial" w:cs="Arial"/>
          <w:sz w:val="24"/>
          <w:szCs w:val="24"/>
        </w:rPr>
        <w:t>performance measure</w:t>
      </w:r>
      <w:r>
        <w:rPr>
          <w:rFonts w:ascii="Arial" w:hAnsi="Arial" w:cs="Arial"/>
          <w:sz w:val="24"/>
          <w:szCs w:val="24"/>
        </w:rPr>
        <w:t>.</w:t>
      </w:r>
    </w:p>
    <w:p w:rsidR="009F3192" w:rsidRDefault="009F3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•NOTE:  Performance regarding on-site sewage complaints is </w:t>
      </w:r>
      <w:proofErr w:type="spellStart"/>
      <w:r>
        <w:rPr>
          <w:rFonts w:ascii="Arial" w:hAnsi="Arial" w:cs="Arial"/>
          <w:sz w:val="24"/>
          <w:szCs w:val="24"/>
        </w:rPr>
        <w:t>assessed</w:t>
      </w:r>
      <w:proofErr w:type="spellEnd"/>
      <w:r>
        <w:rPr>
          <w:rFonts w:ascii="Arial" w:hAnsi="Arial" w:cs="Arial"/>
          <w:sz w:val="24"/>
          <w:szCs w:val="24"/>
        </w:rPr>
        <w:t xml:space="preserve"> via other departmental/divisional and WA Dept. of Health metrics.</w:t>
      </w:r>
    </w:p>
    <w:p w:rsidR="009A010A" w:rsidRPr="00203FBF" w:rsidRDefault="00103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margin-left:118.5pt;margin-top:18.05pt;width:229.5pt;height:0;z-index:251672576" o:connectortype="straight" strokeweight="1.25pt"/>
        </w:pict>
      </w:r>
    </w:p>
    <w:p w:rsidR="009A010A" w:rsidRDefault="009A010A">
      <w:pPr>
        <w:rPr>
          <w:rFonts w:ascii="Arial" w:hAnsi="Arial" w:cs="Arial"/>
          <w:sz w:val="24"/>
          <w:szCs w:val="24"/>
        </w:rPr>
      </w:pPr>
    </w:p>
    <w:p w:rsidR="00AB7D2D" w:rsidRDefault="00AB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•Since</w:t>
      </w:r>
      <w:r w:rsidR="00590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Spring </w:t>
      </w:r>
      <w:r w:rsidR="00590689">
        <w:rPr>
          <w:rFonts w:ascii="Arial" w:hAnsi="Arial" w:cs="Arial"/>
          <w:sz w:val="24"/>
          <w:szCs w:val="24"/>
        </w:rPr>
        <w:t xml:space="preserve">2010 </w:t>
      </w:r>
      <w:r w:rsidR="000C2191" w:rsidRPr="00203FBF">
        <w:rPr>
          <w:rFonts w:ascii="Arial" w:hAnsi="Arial" w:cs="Arial"/>
          <w:sz w:val="24"/>
          <w:szCs w:val="24"/>
        </w:rPr>
        <w:t>program staff have continued to meet this performance measure, although performance has decreased from</w:t>
      </w:r>
      <w:r>
        <w:rPr>
          <w:rFonts w:ascii="Arial" w:hAnsi="Arial" w:cs="Arial"/>
          <w:sz w:val="24"/>
          <w:szCs w:val="24"/>
        </w:rPr>
        <w:t xml:space="preserve"> the peak of 99% achieved in the first quarter of</w:t>
      </w:r>
      <w:r w:rsidR="000C2191" w:rsidRPr="00203FBF">
        <w:rPr>
          <w:rFonts w:ascii="Arial" w:hAnsi="Arial" w:cs="Arial"/>
          <w:sz w:val="24"/>
          <w:szCs w:val="24"/>
        </w:rPr>
        <w:t xml:space="preserve"> 2010.</w:t>
      </w:r>
      <w:r w:rsidR="003B74D3">
        <w:rPr>
          <w:rFonts w:ascii="Arial" w:hAnsi="Arial" w:cs="Arial"/>
          <w:sz w:val="24"/>
          <w:szCs w:val="24"/>
        </w:rPr>
        <w:t xml:space="preserve">  </w:t>
      </w:r>
    </w:p>
    <w:p w:rsidR="000C2191" w:rsidRPr="00203FBF" w:rsidRDefault="00590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3B74D3">
        <w:rPr>
          <w:rFonts w:ascii="Arial" w:hAnsi="Arial" w:cs="Arial"/>
          <w:sz w:val="24"/>
          <w:szCs w:val="24"/>
        </w:rPr>
        <w:t xml:space="preserve">This performance has been maintained despite </w:t>
      </w:r>
      <w:r>
        <w:rPr>
          <w:rFonts w:ascii="Arial" w:hAnsi="Arial" w:cs="Arial"/>
          <w:sz w:val="24"/>
          <w:szCs w:val="24"/>
        </w:rPr>
        <w:t xml:space="preserve">(1) increased number of cases received and (2) </w:t>
      </w:r>
      <w:r w:rsidR="003B74D3">
        <w:rPr>
          <w:rFonts w:ascii="Arial" w:hAnsi="Arial" w:cs="Arial"/>
          <w:sz w:val="24"/>
          <w:szCs w:val="24"/>
        </w:rPr>
        <w:t xml:space="preserve">increased overall number of inspections.  Concurrently, we have been able to decrease solid waste </w:t>
      </w:r>
      <w:r w:rsidR="008D25CE">
        <w:rPr>
          <w:rFonts w:ascii="Arial" w:hAnsi="Arial" w:cs="Arial"/>
          <w:sz w:val="24"/>
          <w:szCs w:val="24"/>
        </w:rPr>
        <w:t xml:space="preserve">complaint </w:t>
      </w:r>
      <w:r w:rsidR="003B74D3">
        <w:rPr>
          <w:rFonts w:ascii="Arial" w:hAnsi="Arial" w:cs="Arial"/>
          <w:sz w:val="24"/>
          <w:szCs w:val="24"/>
        </w:rPr>
        <w:t xml:space="preserve">‘case open’ time.  </w:t>
      </w:r>
    </w:p>
    <w:p w:rsidR="00590689" w:rsidRDefault="000C2191">
      <w:pPr>
        <w:rPr>
          <w:rFonts w:ascii="Arial" w:hAnsi="Arial" w:cs="Arial"/>
          <w:sz w:val="24"/>
          <w:szCs w:val="24"/>
        </w:rPr>
      </w:pPr>
      <w:r w:rsidRPr="00203FBF">
        <w:rPr>
          <w:rFonts w:ascii="Arial" w:hAnsi="Arial" w:cs="Arial"/>
          <w:sz w:val="24"/>
          <w:szCs w:val="24"/>
        </w:rPr>
        <w:t>•Key program metrics and perf</w:t>
      </w:r>
      <w:r w:rsidR="00590689">
        <w:rPr>
          <w:rFonts w:ascii="Arial" w:hAnsi="Arial" w:cs="Arial"/>
          <w:sz w:val="24"/>
          <w:szCs w:val="24"/>
        </w:rPr>
        <w:t>ormance measures are shown on the following pages</w:t>
      </w:r>
      <w:r w:rsidRPr="00203FBF">
        <w:rPr>
          <w:rFonts w:ascii="Arial" w:hAnsi="Arial" w:cs="Arial"/>
          <w:sz w:val="24"/>
          <w:szCs w:val="24"/>
        </w:rPr>
        <w:t xml:space="preserve">.  </w:t>
      </w:r>
    </w:p>
    <w:p w:rsidR="00590689" w:rsidRDefault="00590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0689" w:rsidRDefault="00590689">
      <w:pPr>
        <w:rPr>
          <w:rFonts w:ascii="Arial" w:hAnsi="Arial" w:cs="Arial"/>
          <w:sz w:val="24"/>
          <w:szCs w:val="24"/>
        </w:rPr>
      </w:pPr>
    </w:p>
    <w:p w:rsidR="009A010A" w:rsidRDefault="009A010A">
      <w:pPr>
        <w:rPr>
          <w:rFonts w:ascii="Arial" w:hAnsi="Arial" w:cs="Arial"/>
          <w:sz w:val="24"/>
          <w:szCs w:val="24"/>
        </w:rPr>
      </w:pPr>
    </w:p>
    <w:p w:rsidR="009A010A" w:rsidRDefault="009A010A">
      <w:pPr>
        <w:rPr>
          <w:rFonts w:ascii="Arial" w:hAnsi="Arial" w:cs="Arial"/>
          <w:sz w:val="24"/>
          <w:szCs w:val="24"/>
        </w:rPr>
      </w:pPr>
    </w:p>
    <w:p w:rsidR="00ED6ACF" w:rsidRPr="003B74D3" w:rsidRDefault="0010332B">
      <w:pPr>
        <w:rPr>
          <w:rFonts w:ascii="Arial" w:hAnsi="Arial" w:cs="Arial"/>
          <w:sz w:val="24"/>
          <w:szCs w:val="24"/>
        </w:rPr>
      </w:pPr>
      <w:r w:rsidRPr="0010332B">
        <w:rPr>
          <w:noProof/>
        </w:rPr>
        <w:pict>
          <v:oval id="_x0000_s1035" style="position:absolute;margin-left:-6pt;margin-top:16.3pt;width:152.25pt;height:34.95pt;z-index:251669504" strokecolor="red" strokeweight="1.75pt">
            <v:textbox>
              <w:txbxContent>
                <w:p w:rsidR="00DB05AC" w:rsidRPr="00DB05AC" w:rsidRDefault="000F6033" w:rsidP="00DB05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 w:rsidR="00DB05AC" w:rsidRPr="00DB05AC">
                    <w:rPr>
                      <w:sz w:val="24"/>
                      <w:szCs w:val="24"/>
                    </w:rPr>
                    <w:t>arget</w:t>
                  </w:r>
                  <w:r>
                    <w:rPr>
                      <w:sz w:val="24"/>
                      <w:szCs w:val="24"/>
                    </w:rPr>
                    <w:t xml:space="preserve"> (80%)</w:t>
                  </w:r>
                </w:p>
              </w:txbxContent>
            </v:textbox>
          </v:oval>
        </w:pict>
      </w:r>
    </w:p>
    <w:p w:rsidR="00AB7D2D" w:rsidRDefault="0010332B">
      <w:r>
        <w:rPr>
          <w:noProof/>
        </w:rPr>
        <w:pict>
          <v:shape id="_x0000_s1042" style="position:absolute;margin-left:-24.25pt;margin-top:17.55pt;width:61pt;height:83.45pt;z-index:251670528" coordsize="1295,1923" path="m635,c317,447,,895,110,1215v110,320,975,588,1185,708e" filled="f" strokecolor="red" strokeweight="1.5pt">
            <v:stroke endarrow="block"/>
            <v:path arrowok="t"/>
          </v:shape>
        </w:pict>
      </w:r>
    </w:p>
    <w:p w:rsidR="00FF16EE" w:rsidRPr="00ED6ACF" w:rsidRDefault="00ED6ACF" w:rsidP="00ED6ACF">
      <w:pPr>
        <w:spacing w:after="0"/>
        <w:jc w:val="center"/>
        <w:rPr>
          <w:b/>
          <w:sz w:val="36"/>
          <w:szCs w:val="36"/>
        </w:rPr>
      </w:pPr>
      <w:r w:rsidRPr="00ED6ACF">
        <w:rPr>
          <w:b/>
          <w:sz w:val="36"/>
          <w:szCs w:val="36"/>
        </w:rPr>
        <w:t>So</w:t>
      </w:r>
      <w:r w:rsidR="00D2692F">
        <w:rPr>
          <w:b/>
          <w:sz w:val="36"/>
          <w:szCs w:val="36"/>
        </w:rPr>
        <w:t>lid Waste Code Enforcement</w:t>
      </w:r>
      <w:r w:rsidR="00FF16EE">
        <w:rPr>
          <w:b/>
          <w:sz w:val="36"/>
          <w:szCs w:val="36"/>
        </w:rPr>
        <w:t xml:space="preserve"> </w:t>
      </w:r>
      <w:r w:rsidR="00AB7D2D">
        <w:rPr>
          <w:b/>
          <w:sz w:val="36"/>
          <w:szCs w:val="36"/>
        </w:rPr>
        <w:t>cases i</w:t>
      </w:r>
      <w:r w:rsidRPr="00ED6ACF">
        <w:rPr>
          <w:b/>
          <w:sz w:val="36"/>
          <w:szCs w:val="36"/>
        </w:rPr>
        <w:t>nspected w/in 20 days</w:t>
      </w:r>
    </w:p>
    <w:p w:rsidR="00A175DD" w:rsidRDefault="00FF16E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1989166</wp:posOffset>
            </wp:positionH>
            <wp:positionV relativeFrom="paragraph">
              <wp:posOffset>2559051</wp:posOffset>
            </wp:positionV>
            <wp:extent cx="596092" cy="1097280"/>
            <wp:effectExtent l="19050" t="0" r="0" b="0"/>
            <wp:wrapNone/>
            <wp:docPr id="16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5311" cy="762000"/>
                      <a:chOff x="9296399" y="4038601"/>
                      <a:chExt cx="595311" cy="762000"/>
                    </a:xfrm>
                  </a:grpSpPr>
                  <a:cxnSp>
                    <a:nvCxnSpPr>
                      <a:cNvPr id="30" name="Curved Connector 29"/>
                      <a:cNvCxnSpPr/>
                    </a:nvCxnSpPr>
                    <a:spPr>
                      <a:xfrm rot="5400000" flipH="1" flipV="1">
                        <a:off x="9213055" y="4121945"/>
                        <a:ext cx="762000" cy="595311"/>
                      </a:xfrm>
                      <a:prstGeom prst="curvedConnector3">
                        <a:avLst>
                          <a:gd name="adj1" fmla="val 41250"/>
                        </a:avLst>
                      </a:prstGeom>
                      <a:ln w="15875">
                        <a:solidFill>
                          <a:srgbClr val="FF0000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3660025</wp:posOffset>
            </wp:positionH>
            <wp:positionV relativeFrom="paragraph">
              <wp:posOffset>2559050</wp:posOffset>
            </wp:positionV>
            <wp:extent cx="596091" cy="1155469"/>
            <wp:effectExtent l="19050" t="0" r="0" b="0"/>
            <wp:wrapNone/>
            <wp:docPr id="17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5311" cy="762000"/>
                      <a:chOff x="9296399" y="4038601"/>
                      <a:chExt cx="595311" cy="762000"/>
                    </a:xfrm>
                  </a:grpSpPr>
                  <a:cxnSp>
                    <a:nvCxnSpPr>
                      <a:cNvPr id="30" name="Curved Connector 29"/>
                      <a:cNvCxnSpPr/>
                    </a:nvCxnSpPr>
                    <a:spPr>
                      <a:xfrm rot="5400000" flipH="1" flipV="1">
                        <a:off x="9213055" y="4121945"/>
                        <a:ext cx="762000" cy="595311"/>
                      </a:xfrm>
                      <a:prstGeom prst="curvedConnector3">
                        <a:avLst>
                          <a:gd name="adj1" fmla="val 41250"/>
                        </a:avLst>
                      </a:prstGeom>
                      <a:ln w="15875">
                        <a:solidFill>
                          <a:srgbClr val="FF0000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="0010332B">
        <w:rPr>
          <w:noProof/>
        </w:rPr>
        <w:pict>
          <v:shape id="_x0000_s1031" type="#_x0000_t32" style="position:absolute;margin-left:58.25pt;margin-top:50.3pt;width:396.65pt;height:.65pt;flip:y;z-index:251665408;mso-position-horizontal-relative:text;mso-position-vertical-relative:text" o:connectortype="straight" strokecolor="red" strokeweight="1pt">
            <v:stroke dashstyle="dash"/>
          </v:shape>
        </w:pict>
      </w:r>
      <w:r w:rsidR="0010332B">
        <w:rPr>
          <w:noProof/>
        </w:rPr>
        <w:pict>
          <v:shape id="_x0000_s1029" type="#_x0000_t32" style="position:absolute;margin-left:58.25pt;margin-top:50.3pt;width:411.05pt;height:0;z-index:251661312;mso-position-horizontal-relative:text;mso-position-vertical-relative:text" o:connectortype="straight"/>
        </w:pict>
      </w:r>
      <w:r w:rsidR="00D2692F" w:rsidRPr="00D2692F">
        <w:rPr>
          <w:noProof/>
        </w:rPr>
        <w:drawing>
          <wp:inline distT="0" distB="0" distL="0" distR="0">
            <wp:extent cx="5943600" cy="3236595"/>
            <wp:effectExtent l="19050" t="0" r="19050" b="19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6ACF" w:rsidRDefault="003B74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126365</wp:posOffset>
            </wp:positionV>
            <wp:extent cx="2276475" cy="742950"/>
            <wp:effectExtent l="19050" t="0" r="0" b="0"/>
            <wp:wrapNone/>
            <wp:docPr id="11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43200" cy="685800"/>
                      <a:chOff x="6629400" y="4572000"/>
                      <a:chExt cx="2743200" cy="685800"/>
                    </a:xfrm>
                  </a:grpSpPr>
                  <a:sp>
                    <a:nvSpPr>
                      <a:cNvPr id="26" name="Oval Callout 25"/>
                      <a:cNvSpPr/>
                    </a:nvSpPr>
                    <a:spPr>
                      <a:xfrm>
                        <a:off x="6629400" y="4572000"/>
                        <a:ext cx="2743200" cy="685800"/>
                      </a:xfrm>
                      <a:prstGeom prst="wedgeEllipseCallout">
                        <a:avLst>
                          <a:gd name="adj1" fmla="val 31806"/>
                          <a:gd name="adj2" fmla="val -36971"/>
                        </a:avLst>
                      </a:prstGeom>
                      <a:noFill/>
                      <a:ln w="15875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87822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7564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763466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351288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939110" algn="l" defTabSz="1175644" rtl="0" eaLnBrk="1" latinLnBrk="0" hangingPunct="1">
                            <a:defRPr sz="3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3526932" algn="l" defTabSz="1175644" rtl="0" eaLnBrk="1" latinLnBrk="0" hangingPunct="1">
                            <a:defRPr sz="3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114754" algn="l" defTabSz="1175644" rtl="0" eaLnBrk="1" latinLnBrk="0" hangingPunct="1">
                            <a:defRPr sz="3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4702576" algn="l" defTabSz="1175644" rtl="0" eaLnBrk="1" latinLnBrk="0" hangingPunct="1">
                            <a:defRPr sz="31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300" dirty="0" smtClean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Process change point (effective Q3-2009)</a:t>
                          </a:r>
                          <a:endParaRPr lang="en-US" sz="13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10332B">
        <w:rPr>
          <w:noProof/>
        </w:rPr>
        <w:pict>
          <v:oval id="_x0000_s1030" style="position:absolute;margin-left:246.1pt;margin-top:19.4pt;width:157.75pt;height:50.25pt;z-index:251664384;mso-position-horizontal-relative:text;mso-position-vertical-relative:text" strokecolor="red" strokeweight="1.5pt">
            <v:textbox>
              <w:txbxContent>
                <w:p w:rsidR="00D2692F" w:rsidRPr="00DB05AC" w:rsidRDefault="00FF16EE" w:rsidP="00FF16EE">
                  <w:pPr>
                    <w:jc w:val="center"/>
                    <w:rPr>
                      <w:sz w:val="24"/>
                      <w:szCs w:val="24"/>
                    </w:rPr>
                  </w:pPr>
                  <w:r w:rsidRPr="00DB05AC">
                    <w:rPr>
                      <w:sz w:val="24"/>
                      <w:szCs w:val="24"/>
                    </w:rPr>
                    <w:t xml:space="preserve">Prior </w:t>
                  </w:r>
                  <w:r w:rsidR="00D2692F" w:rsidRPr="00DB05AC">
                    <w:rPr>
                      <w:sz w:val="24"/>
                      <w:szCs w:val="24"/>
                    </w:rPr>
                    <w:t xml:space="preserve">QIC </w:t>
                  </w:r>
                  <w:r w:rsidRPr="00DB05AC"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 w:rsidR="00D2692F" w:rsidRPr="00DB05AC">
                    <w:rPr>
                      <w:sz w:val="24"/>
                      <w:szCs w:val="24"/>
                    </w:rPr>
                    <w:t>Spring</w:t>
                  </w:r>
                  <w:proofErr w:type="gramEnd"/>
                  <w:r w:rsidR="00D2692F" w:rsidRPr="00DB05AC">
                    <w:rPr>
                      <w:sz w:val="24"/>
                      <w:szCs w:val="24"/>
                    </w:rPr>
                    <w:t xml:space="preserve"> 2010</w:t>
                  </w:r>
                </w:p>
                <w:p w:rsidR="00D2692F" w:rsidRDefault="00D2692F"/>
              </w:txbxContent>
            </v:textbox>
          </v:oval>
        </w:pict>
      </w:r>
      <w:r w:rsidR="00ED6ACF">
        <w:br w:type="page"/>
      </w:r>
    </w:p>
    <w:p w:rsidR="00DB05AC" w:rsidRDefault="00DB05AC">
      <w:r w:rsidRPr="00DB05AC">
        <w:rPr>
          <w:rFonts w:cs="Arial"/>
          <w:b/>
          <w:sz w:val="36"/>
          <w:szCs w:val="36"/>
        </w:rPr>
        <w:lastRenderedPageBreak/>
        <w:t>New Code Enforcement Cases by Year (2005-2010)</w:t>
      </w:r>
    </w:p>
    <w:p w:rsidR="00DB05AC" w:rsidRDefault="00DB05AC">
      <w:r w:rsidRPr="00DB05A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95950" cy="3228975"/>
            <wp:effectExtent l="38100" t="19050" r="19050" b="0"/>
            <wp:wrapSquare wrapText="bothSides"/>
            <wp:docPr id="2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B05AC" w:rsidRDefault="00DB05AC"/>
    <w:p w:rsidR="009F5EC2" w:rsidRPr="005E11BA" w:rsidRDefault="005E11BA">
      <w:pPr>
        <w:rPr>
          <w:b/>
          <w:sz w:val="36"/>
          <w:szCs w:val="36"/>
        </w:rPr>
      </w:pPr>
      <w:r w:rsidRPr="005E11BA">
        <w:rPr>
          <w:b/>
          <w:sz w:val="36"/>
          <w:szCs w:val="36"/>
        </w:rPr>
        <w:t xml:space="preserve">New Code Enforcement cases </w:t>
      </w:r>
      <w:r w:rsidRPr="00DB05AC">
        <w:rPr>
          <w:b/>
          <w:sz w:val="36"/>
          <w:szCs w:val="36"/>
          <w:u w:val="single"/>
        </w:rPr>
        <w:t>by type</w:t>
      </w:r>
      <w:r w:rsidR="00DB05AC">
        <w:rPr>
          <w:b/>
          <w:sz w:val="36"/>
          <w:szCs w:val="36"/>
        </w:rPr>
        <w:t>, by Y</w:t>
      </w:r>
      <w:r w:rsidRPr="005E11BA">
        <w:rPr>
          <w:b/>
          <w:sz w:val="36"/>
          <w:szCs w:val="36"/>
        </w:rPr>
        <w:t>ear</w:t>
      </w:r>
      <w:r w:rsidR="00DB05AC">
        <w:rPr>
          <w:b/>
          <w:sz w:val="36"/>
          <w:szCs w:val="36"/>
        </w:rPr>
        <w:t xml:space="preserve"> (2005-2010)</w:t>
      </w:r>
    </w:p>
    <w:p w:rsidR="009F5EC2" w:rsidRDefault="009F5EC2">
      <w:r w:rsidRPr="009F5EC2">
        <w:rPr>
          <w:noProof/>
        </w:rPr>
        <w:drawing>
          <wp:inline distT="0" distB="0" distL="0" distR="0">
            <wp:extent cx="5657850" cy="3038475"/>
            <wp:effectExtent l="38100" t="1905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1DED" w:rsidRDefault="00BC1DED">
      <w:pPr>
        <w:rPr>
          <w:b/>
          <w:sz w:val="36"/>
          <w:szCs w:val="36"/>
        </w:rPr>
      </w:pPr>
    </w:p>
    <w:p w:rsidR="009F5EC2" w:rsidRPr="005E11BA" w:rsidRDefault="005E11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Code Enforcement inspections </w:t>
      </w:r>
      <w:r w:rsidRPr="005E11BA">
        <w:rPr>
          <w:b/>
          <w:sz w:val="36"/>
          <w:szCs w:val="36"/>
        </w:rPr>
        <w:t>by type, by year</w:t>
      </w:r>
      <w:r w:rsidR="00DB05AC">
        <w:rPr>
          <w:b/>
          <w:sz w:val="36"/>
          <w:szCs w:val="36"/>
        </w:rPr>
        <w:t xml:space="preserve"> (2005-2010)</w:t>
      </w:r>
    </w:p>
    <w:p w:rsidR="009F5EC2" w:rsidRDefault="009F5EC2">
      <w:r w:rsidRPr="009F5EC2">
        <w:rPr>
          <w:noProof/>
        </w:rPr>
        <w:drawing>
          <wp:inline distT="0" distB="0" distL="0" distR="0">
            <wp:extent cx="588645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384A" w:rsidRDefault="0001384A" w:rsidP="00BC1DED">
      <w:pPr>
        <w:spacing w:after="0"/>
      </w:pPr>
    </w:p>
    <w:p w:rsidR="000C2191" w:rsidRDefault="000C2191" w:rsidP="00BC1DED">
      <w:pPr>
        <w:spacing w:after="0"/>
      </w:pPr>
    </w:p>
    <w:p w:rsidR="000C2191" w:rsidRDefault="000C2191" w:rsidP="00BC1DED">
      <w:pPr>
        <w:spacing w:after="0"/>
      </w:pPr>
    </w:p>
    <w:p w:rsidR="009F5EC2" w:rsidRDefault="0001384A" w:rsidP="00BC1DE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Avg.</w:t>
      </w:r>
      <w:r w:rsidR="005E11BA">
        <w:rPr>
          <w:b/>
          <w:sz w:val="36"/>
          <w:szCs w:val="36"/>
        </w:rPr>
        <w:t xml:space="preserve"> days to </w:t>
      </w:r>
      <w:r w:rsidR="00DB05AC">
        <w:rPr>
          <w:b/>
          <w:sz w:val="36"/>
          <w:szCs w:val="36"/>
          <w:u w:val="single"/>
        </w:rPr>
        <w:t xml:space="preserve">solid </w:t>
      </w:r>
      <w:r w:rsidR="00DB05AC" w:rsidRPr="00DB05AC">
        <w:rPr>
          <w:b/>
          <w:sz w:val="36"/>
          <w:szCs w:val="36"/>
          <w:u w:val="single"/>
        </w:rPr>
        <w:t>waste</w:t>
      </w:r>
      <w:r w:rsidR="00DB05AC">
        <w:rPr>
          <w:b/>
          <w:sz w:val="36"/>
          <w:szCs w:val="36"/>
        </w:rPr>
        <w:t xml:space="preserve"> </w:t>
      </w:r>
      <w:r w:rsidR="00BC1DED" w:rsidRPr="00DB05AC">
        <w:rPr>
          <w:b/>
          <w:sz w:val="36"/>
          <w:szCs w:val="36"/>
        </w:rPr>
        <w:t>case</w:t>
      </w:r>
      <w:r w:rsidR="00BC1DED">
        <w:rPr>
          <w:b/>
          <w:sz w:val="36"/>
          <w:szCs w:val="36"/>
        </w:rPr>
        <w:t xml:space="preserve"> r</w:t>
      </w:r>
      <w:r w:rsidR="005E11BA">
        <w:rPr>
          <w:b/>
          <w:sz w:val="36"/>
          <w:szCs w:val="36"/>
        </w:rPr>
        <w:t>esolution</w:t>
      </w:r>
      <w:r>
        <w:rPr>
          <w:b/>
          <w:sz w:val="36"/>
          <w:szCs w:val="36"/>
        </w:rPr>
        <w:t xml:space="preserve"> </w:t>
      </w:r>
      <w:r w:rsidR="00BC1DED">
        <w:rPr>
          <w:b/>
          <w:sz w:val="36"/>
          <w:szCs w:val="36"/>
        </w:rPr>
        <w:t>(2005–2010)</w:t>
      </w:r>
    </w:p>
    <w:p w:rsidR="00BC1DED" w:rsidRDefault="0010332B">
      <w:r>
        <w:rPr>
          <w:noProof/>
        </w:rPr>
        <w:pict>
          <v:shape id="_x0000_s1032" type="#_x0000_t32" style="position:absolute;margin-left:53.65pt;margin-top:36.75pt;width:399.95pt;height:113.2pt;z-index:251666432" o:connectortype="straight" strokeweight="1.5pt"/>
        </w:pict>
      </w:r>
      <w:r w:rsidR="00BC1DED" w:rsidRPr="00BC1DED">
        <w:rPr>
          <w:noProof/>
        </w:rPr>
        <w:drawing>
          <wp:inline distT="0" distB="0" distL="0" distR="0">
            <wp:extent cx="5943600" cy="2641600"/>
            <wp:effectExtent l="19050" t="0" r="19050" b="6350"/>
            <wp:docPr id="19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BC1DED" w:rsidSect="0085717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25" w:rsidRDefault="00321E25" w:rsidP="009F5EC2">
      <w:pPr>
        <w:spacing w:after="0" w:line="240" w:lineRule="auto"/>
      </w:pPr>
      <w:r>
        <w:separator/>
      </w:r>
    </w:p>
  </w:endnote>
  <w:endnote w:type="continuationSeparator" w:id="0">
    <w:p w:rsidR="00321E25" w:rsidRDefault="00321E25" w:rsidP="009F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BA" w:rsidRDefault="0010332B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95pt;margin-top:4.3pt;width:477.8pt;height:1.3pt;flip:y;z-index:251659264" o:connectortype="straight"/>
      </w:pict>
    </w:r>
  </w:p>
  <w:p w:rsidR="005E11BA" w:rsidRPr="000F6033" w:rsidRDefault="0010332B">
    <w:pPr>
      <w:pStyle w:val="Footer"/>
      <w:rPr>
        <w:sz w:val="16"/>
        <w:szCs w:val="16"/>
      </w:rPr>
    </w:pPr>
    <w:r w:rsidRPr="000F6033">
      <w:rPr>
        <w:b/>
        <w:sz w:val="24"/>
        <w:szCs w:val="24"/>
      </w:rPr>
      <w:fldChar w:fldCharType="begin"/>
    </w:r>
    <w:r w:rsidR="002C1559" w:rsidRPr="000F6033">
      <w:rPr>
        <w:b/>
        <w:sz w:val="24"/>
        <w:szCs w:val="24"/>
      </w:rPr>
      <w:instrText xml:space="preserve"> PAGE   \* MERGEFORMAT </w:instrText>
    </w:r>
    <w:r w:rsidRPr="000F6033">
      <w:rPr>
        <w:b/>
        <w:sz w:val="24"/>
        <w:szCs w:val="24"/>
      </w:rPr>
      <w:fldChar w:fldCharType="separate"/>
    </w:r>
    <w:r w:rsidR="00E431BD">
      <w:rPr>
        <w:b/>
        <w:noProof/>
        <w:sz w:val="24"/>
        <w:szCs w:val="24"/>
      </w:rPr>
      <w:t>4</w:t>
    </w:r>
    <w:r w:rsidRPr="000F6033">
      <w:rPr>
        <w:b/>
        <w:sz w:val="24"/>
        <w:szCs w:val="24"/>
      </w:rPr>
      <w:fldChar w:fldCharType="end"/>
    </w:r>
    <w:r w:rsidR="000F6033">
      <w:tab/>
    </w:r>
    <w:fldSimple w:instr=" FILENAME  \* Lower \p  \* MERGEFORMAT ">
      <w:r w:rsidR="009F3192" w:rsidRPr="009F3192">
        <w:rPr>
          <w:noProof/>
          <w:sz w:val="16"/>
          <w:szCs w:val="16"/>
        </w:rPr>
        <w:t>c:\documents and settings\jsherman\desktop\updated code enforcement data 032411.docx</w:t>
      </w:r>
    </w:fldSimple>
  </w:p>
  <w:p w:rsidR="005E11BA" w:rsidRDefault="005E1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25" w:rsidRDefault="00321E25" w:rsidP="009F5EC2">
      <w:pPr>
        <w:spacing w:after="0" w:line="240" w:lineRule="auto"/>
      </w:pPr>
      <w:r>
        <w:separator/>
      </w:r>
    </w:p>
  </w:footnote>
  <w:footnote w:type="continuationSeparator" w:id="0">
    <w:p w:rsidR="00321E25" w:rsidRDefault="00321E25" w:rsidP="009F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BA" w:rsidRDefault="005E11BA" w:rsidP="005E11BA">
    <w:pPr>
      <w:spacing w:after="0"/>
      <w:rPr>
        <w:rFonts w:ascii="Arial" w:hAnsi="Arial" w:cs="Arial"/>
        <w:b/>
      </w:rPr>
    </w:pPr>
    <w:r>
      <w:rPr>
        <w:rFonts w:ascii="Arial" w:hAnsi="Arial" w:cs="Arial"/>
        <w:b/>
      </w:rPr>
      <w:t>Tacoma-Pierce County Health Department</w:t>
    </w:r>
    <w:r w:rsidR="00590689">
      <w:rPr>
        <w:rFonts w:ascii="Arial" w:hAnsi="Arial" w:cs="Arial"/>
        <w:b/>
      </w:rPr>
      <w:tab/>
    </w:r>
    <w:r w:rsidR="00590689">
      <w:rPr>
        <w:rFonts w:ascii="Arial" w:hAnsi="Arial" w:cs="Arial"/>
        <w:b/>
      </w:rPr>
      <w:tab/>
    </w:r>
    <w:r w:rsidR="00590689">
      <w:rPr>
        <w:rFonts w:ascii="Arial" w:hAnsi="Arial" w:cs="Arial"/>
        <w:b/>
      </w:rPr>
      <w:tab/>
    </w:r>
    <w:r w:rsidR="00590689">
      <w:rPr>
        <w:rFonts w:ascii="Arial" w:hAnsi="Arial" w:cs="Arial"/>
        <w:b/>
      </w:rPr>
      <w:tab/>
    </w:r>
    <w:r w:rsidR="00590689" w:rsidRPr="005E11BA">
      <w:rPr>
        <w:rFonts w:ascii="Arial" w:hAnsi="Arial" w:cs="Arial"/>
        <w:b/>
      </w:rPr>
      <w:t>April 26, 2011</w:t>
    </w:r>
  </w:p>
  <w:p w:rsidR="005E11BA" w:rsidRPr="005E11BA" w:rsidRDefault="005E11BA" w:rsidP="005E11BA">
    <w:pPr>
      <w:spacing w:after="0"/>
      <w:rPr>
        <w:rFonts w:ascii="Arial" w:hAnsi="Arial" w:cs="Arial"/>
        <w:b/>
      </w:rPr>
    </w:pPr>
    <w:r>
      <w:rPr>
        <w:rFonts w:ascii="Arial" w:hAnsi="Arial" w:cs="Arial"/>
        <w:b/>
      </w:rPr>
      <w:t>Q</w:t>
    </w:r>
    <w:r w:rsidRPr="005E11BA">
      <w:rPr>
        <w:rFonts w:ascii="Arial" w:hAnsi="Arial" w:cs="Arial"/>
        <w:b/>
      </w:rPr>
      <w:t>uality Improvement Council</w:t>
    </w:r>
  </w:p>
  <w:p w:rsidR="005E11BA" w:rsidRDefault="0010332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95pt;margin-top:1pt;width:473.2pt;height:1.3pt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7EEC"/>
    <w:rsid w:val="0001384A"/>
    <w:rsid w:val="000177E4"/>
    <w:rsid w:val="00023DC0"/>
    <w:rsid w:val="00045E96"/>
    <w:rsid w:val="00094346"/>
    <w:rsid w:val="000C0E34"/>
    <w:rsid w:val="000C2191"/>
    <w:rsid w:val="000D6984"/>
    <w:rsid w:val="000E50E4"/>
    <w:rsid w:val="000F6033"/>
    <w:rsid w:val="0010332B"/>
    <w:rsid w:val="00133C75"/>
    <w:rsid w:val="0019403E"/>
    <w:rsid w:val="001D1D43"/>
    <w:rsid w:val="00203FBF"/>
    <w:rsid w:val="00227C4F"/>
    <w:rsid w:val="00271705"/>
    <w:rsid w:val="002867F9"/>
    <w:rsid w:val="002B4E66"/>
    <w:rsid w:val="002C1559"/>
    <w:rsid w:val="002D260A"/>
    <w:rsid w:val="002D410B"/>
    <w:rsid w:val="00321E25"/>
    <w:rsid w:val="00380015"/>
    <w:rsid w:val="003B74D3"/>
    <w:rsid w:val="003F101F"/>
    <w:rsid w:val="00402F11"/>
    <w:rsid w:val="0043607A"/>
    <w:rsid w:val="004367B3"/>
    <w:rsid w:val="00450B7E"/>
    <w:rsid w:val="00513970"/>
    <w:rsid w:val="005154E2"/>
    <w:rsid w:val="005661C5"/>
    <w:rsid w:val="00590689"/>
    <w:rsid w:val="005A4A81"/>
    <w:rsid w:val="005D109D"/>
    <w:rsid w:val="005D71CD"/>
    <w:rsid w:val="005D7634"/>
    <w:rsid w:val="005E11BA"/>
    <w:rsid w:val="00670066"/>
    <w:rsid w:val="0072472A"/>
    <w:rsid w:val="0074475A"/>
    <w:rsid w:val="007A4A79"/>
    <w:rsid w:val="007E0975"/>
    <w:rsid w:val="007E0E1F"/>
    <w:rsid w:val="00824390"/>
    <w:rsid w:val="0085256F"/>
    <w:rsid w:val="00857179"/>
    <w:rsid w:val="008B6BF2"/>
    <w:rsid w:val="008D25CE"/>
    <w:rsid w:val="008F15FF"/>
    <w:rsid w:val="00912043"/>
    <w:rsid w:val="009A010A"/>
    <w:rsid w:val="009B5FE6"/>
    <w:rsid w:val="009F3192"/>
    <w:rsid w:val="009F5EC2"/>
    <w:rsid w:val="00A12B37"/>
    <w:rsid w:val="00A16AF0"/>
    <w:rsid w:val="00A175DD"/>
    <w:rsid w:val="00A22ECA"/>
    <w:rsid w:val="00A248AE"/>
    <w:rsid w:val="00A81900"/>
    <w:rsid w:val="00AB7D2D"/>
    <w:rsid w:val="00B06B33"/>
    <w:rsid w:val="00B850D8"/>
    <w:rsid w:val="00BA5ABB"/>
    <w:rsid w:val="00BC1DED"/>
    <w:rsid w:val="00C10960"/>
    <w:rsid w:val="00C25146"/>
    <w:rsid w:val="00C2603C"/>
    <w:rsid w:val="00C27EEC"/>
    <w:rsid w:val="00C4266B"/>
    <w:rsid w:val="00D2692F"/>
    <w:rsid w:val="00D56700"/>
    <w:rsid w:val="00D8453B"/>
    <w:rsid w:val="00DB05AC"/>
    <w:rsid w:val="00DB07F0"/>
    <w:rsid w:val="00E431BD"/>
    <w:rsid w:val="00ED638E"/>
    <w:rsid w:val="00ED6ACF"/>
    <w:rsid w:val="00EE12F9"/>
    <w:rsid w:val="00F40D27"/>
    <w:rsid w:val="00F7643F"/>
    <w:rsid w:val="00F94F7B"/>
    <w:rsid w:val="00FE29C6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6" type="connector" idref="#_x0000_s1031"/>
        <o:r id="V:Rule7" type="connector" idref="#_x0000_s1029"/>
        <o:r id="V:Rule8" type="connector" idref="#_x0000_s1044"/>
        <o:r id="V:Rule9" type="connector" idref="#_x0000_s1045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C2"/>
  </w:style>
  <w:style w:type="paragraph" w:styleId="Footer">
    <w:name w:val="footer"/>
    <w:basedOn w:val="Normal"/>
    <w:link w:val="FooterChar"/>
    <w:uiPriority w:val="99"/>
    <w:unhideWhenUsed/>
    <w:rsid w:val="009F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r\data\LIBSHARE\SRCPRO\COMPLIANCE\Queries\Code%20enforcement%20stats\2011\John's%20chart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jsherman\Local%20Settings\Temporary%20Internet%20Files\Content.Outlook\1ISV5HUM\John's%20chart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jsherman\Local%20Settings\Temporary%20Internet%20Files\Content.Outlook\1ISV5HUM\John's%20char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sherman\Local%20Settings\Temporary%20Internet%20Files\Content.Outlook\1ISV5HUM\John's%20char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r\data\LIBSHARE\SRCPRO\COMPLIANCE\Queries\Code%20enforcement%20stats\2011\John's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dLbls>
            <c:dLbl>
              <c:idx val="2"/>
              <c:layout>
                <c:manualLayout>
                  <c:x val="-1.9782396751076231E-3"/>
                  <c:y val="-1.8165304268846553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1.0899182561307875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2.1798365122615862E-2"/>
                </c:manualLayout>
              </c:layout>
              <c:showVal val="1"/>
            </c:dLbl>
            <c:showVal val="1"/>
          </c:dLbls>
          <c:trendline>
            <c:trendlineType val="linear"/>
          </c:trendline>
          <c:cat>
            <c:strRef>
              <c:f>Sheet1!$B$10:$B$18</c:f>
              <c:strCache>
                <c:ptCount val="9"/>
                <c:pt idx="0">
                  <c:v>(Baseline) 2008</c:v>
                </c:pt>
                <c:pt idx="1">
                  <c:v>Q1 2009</c:v>
                </c:pt>
                <c:pt idx="2">
                  <c:v>Q2 2009</c:v>
                </c:pt>
                <c:pt idx="3">
                  <c:v>Q3 2009</c:v>
                </c:pt>
                <c:pt idx="4">
                  <c:v>Q4 2009</c:v>
                </c:pt>
                <c:pt idx="5">
                  <c:v>Q1 2010</c:v>
                </c:pt>
                <c:pt idx="6">
                  <c:v>Q2 2010</c:v>
                </c:pt>
                <c:pt idx="7">
                  <c:v>Q3 2010</c:v>
                </c:pt>
                <c:pt idx="8">
                  <c:v>Q4 2010</c:v>
                </c:pt>
              </c:strCache>
            </c:strRef>
          </c:cat>
          <c:val>
            <c:numRef>
              <c:f>Sheet1!$C$10:$C$18</c:f>
              <c:numCache>
                <c:formatCode>General</c:formatCode>
                <c:ptCount val="9"/>
                <c:pt idx="0">
                  <c:v>77</c:v>
                </c:pt>
                <c:pt idx="1">
                  <c:v>81</c:v>
                </c:pt>
                <c:pt idx="2">
                  <c:v>80</c:v>
                </c:pt>
                <c:pt idx="3">
                  <c:v>91</c:v>
                </c:pt>
                <c:pt idx="4">
                  <c:v>94</c:v>
                </c:pt>
                <c:pt idx="5">
                  <c:v>99</c:v>
                </c:pt>
                <c:pt idx="6">
                  <c:v>87</c:v>
                </c:pt>
                <c:pt idx="7">
                  <c:v>93</c:v>
                </c:pt>
                <c:pt idx="8">
                  <c:v>91</c:v>
                </c:pt>
              </c:numCache>
            </c:numRef>
          </c:val>
        </c:ser>
        <c:axId val="121426304"/>
        <c:axId val="121427840"/>
      </c:barChart>
      <c:catAx>
        <c:axId val="121426304"/>
        <c:scaling>
          <c:orientation val="minMax"/>
        </c:scaling>
        <c:axPos val="b"/>
        <c:majorTickMark val="none"/>
        <c:minorTickMark val="out"/>
        <c:tickLblPos val="nextTo"/>
        <c:crossAx val="121427840"/>
        <c:crosses val="autoZero"/>
        <c:auto val="1"/>
        <c:lblAlgn val="ctr"/>
        <c:lblOffset val="100"/>
      </c:catAx>
      <c:valAx>
        <c:axId val="121427840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Percent</a:t>
                </a:r>
              </a:p>
            </c:rich>
          </c:tx>
        </c:title>
        <c:numFmt formatCode="General" sourceLinked="1"/>
        <c:majorTickMark val="none"/>
        <c:tickLblPos val="nextTo"/>
        <c:crossAx val="121426304"/>
        <c:crosses val="autoZero"/>
        <c:crossBetween val="between"/>
      </c:valAx>
    </c:plotArea>
    <c:plotVisOnly val="1"/>
  </c:chart>
  <c:spPr>
    <a:ln w="2540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'Total New Cases'!$C$2</c:f>
              <c:strCache>
                <c:ptCount val="1"/>
                <c:pt idx="0">
                  <c:v>Total New Code Enforcement Cases (by year)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6203703703703776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990740740740741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30555555555555547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3194444444444460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0.37500000000000111"/>
                </c:manualLayout>
              </c:layout>
              <c:tx>
                <c:rich>
                  <a:bodyPr/>
                  <a:lstStyle/>
                  <a:p>
                    <a:r>
                      <a:rPr lang="en-US" sz="1100" baseline="0"/>
                      <a:t>1,006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2.7322404371584678E-3"/>
                  <c:y val="0.41203667249927206"/>
                </c:manualLayout>
              </c:layout>
              <c:tx>
                <c:rich>
                  <a:bodyPr/>
                  <a:lstStyle/>
                  <a:p>
                    <a:r>
                      <a:rPr lang="en-US" sz="1100" baseline="0"/>
                      <a:t>1,063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aseline="0"/>
                </a:pPr>
                <a:endParaRPr lang="en-US"/>
              </a:p>
            </c:txPr>
            <c:showVal val="1"/>
          </c:dLbls>
          <c:cat>
            <c:strRef>
              <c:f>'Total New Cases'!$A$3:$B$8</c:f>
              <c:strCach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</c:strCache>
            </c:strRef>
          </c:cat>
          <c:val>
            <c:numRef>
              <c:f>'Total New Cases'!$C$3:$C$8</c:f>
              <c:numCache>
                <c:formatCode>General</c:formatCode>
                <c:ptCount val="6"/>
                <c:pt idx="0">
                  <c:v>528</c:v>
                </c:pt>
                <c:pt idx="1">
                  <c:v>603</c:v>
                </c:pt>
                <c:pt idx="2">
                  <c:v>849</c:v>
                </c:pt>
                <c:pt idx="3">
                  <c:v>868</c:v>
                </c:pt>
                <c:pt idx="4" formatCode="#,##0">
                  <c:v>1006</c:v>
                </c:pt>
                <c:pt idx="5" formatCode="#,##0">
                  <c:v>1063</c:v>
                </c:pt>
              </c:numCache>
            </c:numRef>
          </c:val>
        </c:ser>
        <c:gapWidth val="58"/>
        <c:axId val="134430080"/>
        <c:axId val="58147968"/>
      </c:barChart>
      <c:catAx>
        <c:axId val="134430080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58147968"/>
        <c:crosses val="autoZero"/>
        <c:auto val="1"/>
        <c:lblAlgn val="ctr"/>
        <c:lblOffset val="100"/>
      </c:catAx>
      <c:valAx>
        <c:axId val="581479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134430080"/>
        <c:crosses val="autoZero"/>
        <c:crossBetween val="between"/>
      </c:valAx>
    </c:plotArea>
    <c:plotVisOnly val="1"/>
  </c:chart>
  <c:spPr>
    <a:ln w="31750">
      <a:solidFill>
        <a:schemeClr val="tx1"/>
      </a:solidFill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stacked"/>
        <c:ser>
          <c:idx val="0"/>
          <c:order val="0"/>
          <c:tx>
            <c:strRef>
              <c:f>'Code Enforcement Cases '!$C$4</c:f>
              <c:strCache>
                <c:ptCount val="1"/>
                <c:pt idx="0">
                  <c:v>Solid Waste Cases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3212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240740740740746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6.9444444444444531E-2"/>
                </c:manualLayout>
              </c:layout>
              <c:showVal val="1"/>
            </c:dLbl>
            <c:dLbl>
              <c:idx val="5"/>
              <c:layout>
                <c:manualLayout>
                  <c:x val="-2.2948938611589316E-3"/>
                  <c:y val="7.407407407407407E-2"/>
                </c:manualLayout>
              </c:layout>
              <c:showVal val="1"/>
            </c:dLbl>
            <c:spPr>
              <a:ln w="6350"/>
            </c:spPr>
            <c:showVal val="1"/>
          </c:dLbls>
          <c:cat>
            <c:strRef>
              <c:f>'Code Enforcement Cases '!$A$5:$B$10</c:f>
              <c:strCach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</c:strCache>
            </c:strRef>
          </c:cat>
          <c:val>
            <c:numRef>
              <c:f>'Code Enforcement Cases '!$C$5:$C$10</c:f>
              <c:numCache>
                <c:formatCode>General</c:formatCode>
                <c:ptCount val="6"/>
                <c:pt idx="0">
                  <c:v>528</c:v>
                </c:pt>
                <c:pt idx="1">
                  <c:v>603</c:v>
                </c:pt>
                <c:pt idx="2">
                  <c:v>603</c:v>
                </c:pt>
                <c:pt idx="3">
                  <c:v>642</c:v>
                </c:pt>
                <c:pt idx="4">
                  <c:v>738</c:v>
                </c:pt>
                <c:pt idx="5">
                  <c:v>746</c:v>
                </c:pt>
              </c:numCache>
            </c:numRef>
          </c:val>
        </c:ser>
        <c:ser>
          <c:idx val="1"/>
          <c:order val="1"/>
          <c:tx>
            <c:strRef>
              <c:f>'Code Enforcement Cases '!$D$4</c:f>
              <c:strCache>
                <c:ptCount val="1"/>
                <c:pt idx="0">
                  <c:v>On-site Sewage Cases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3.703667249927110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777777777777792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4.166666666666666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6.4814814814815075E-2"/>
                </c:manualLayout>
              </c:layout>
              <c:showVal val="1"/>
            </c:dLbl>
            <c:showVal val="1"/>
          </c:dLbls>
          <c:cat>
            <c:strRef>
              <c:f>'Code Enforcement Cases '!$A$5:$B$10</c:f>
              <c:strCach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</c:strCache>
            </c:strRef>
          </c:cat>
          <c:val>
            <c:numRef>
              <c:f>'Code Enforcement Cases '!$D$5:$D$10</c:f>
              <c:numCache>
                <c:formatCode>General</c:formatCode>
                <c:ptCount val="6"/>
                <c:pt idx="2">
                  <c:v>246</c:v>
                </c:pt>
                <c:pt idx="3">
                  <c:v>226</c:v>
                </c:pt>
                <c:pt idx="4">
                  <c:v>268</c:v>
                </c:pt>
                <c:pt idx="5">
                  <c:v>317</c:v>
                </c:pt>
              </c:numCache>
            </c:numRef>
          </c:val>
        </c:ser>
        <c:gapWidth val="66"/>
        <c:overlap val="100"/>
        <c:axId val="58341248"/>
        <c:axId val="58342784"/>
      </c:barChart>
      <c:catAx>
        <c:axId val="58341248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58342784"/>
        <c:crosses val="autoZero"/>
        <c:auto val="1"/>
        <c:lblAlgn val="ctr"/>
        <c:lblOffset val="100"/>
      </c:catAx>
      <c:valAx>
        <c:axId val="58342784"/>
        <c:scaling>
          <c:orientation val="minMax"/>
        </c:scaling>
        <c:axPos val="l"/>
        <c:majorGridlines/>
        <c:numFmt formatCode="General" sourceLinked="1"/>
        <c:tickLblPos val="nextTo"/>
        <c:txPr>
          <a:bodyPr anchor="t" anchorCtr="0"/>
          <a:lstStyle/>
          <a:p>
            <a:pPr>
              <a:defRPr b="1" i="0" baseline="0"/>
            </a:pPr>
            <a:endParaRPr lang="en-US"/>
          </a:p>
        </c:txPr>
        <c:crossAx val="583412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en-US"/>
          </a:p>
        </c:txPr>
      </c:legendEntry>
    </c:legend>
    <c:plotVisOnly val="1"/>
  </c:chart>
  <c:spPr>
    <a:ln w="31750">
      <a:solidFill>
        <a:schemeClr val="tx1"/>
      </a:solidFill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stacked"/>
        <c:ser>
          <c:idx val="0"/>
          <c:order val="0"/>
          <c:tx>
            <c:strRef>
              <c:f>'Code Enforcement Inspections'!$C$4</c:f>
              <c:strCache>
                <c:ptCount val="1"/>
                <c:pt idx="0">
                  <c:v>Solid Waste </c:v>
                </c:pt>
              </c:strCache>
            </c:strRef>
          </c:tx>
          <c:dLbls>
            <c:dLbl>
              <c:idx val="2"/>
              <c:layout>
                <c:manualLayout>
                  <c:x val="-1.6988167741168433E-7"/>
                  <c:y val="-3.240740740740755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6.944444444444450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6.0185185185185147E-2"/>
                </c:manualLayout>
              </c:layout>
              <c:showVal val="1"/>
            </c:dLbl>
            <c:showVal val="1"/>
          </c:dLbls>
          <c:cat>
            <c:strRef>
              <c:f>'Code Enforcement Inspections'!$A$5:$B$10</c:f>
              <c:strCach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</c:strCache>
            </c:strRef>
          </c:cat>
          <c:val>
            <c:numRef>
              <c:f>'Code Enforcement Inspections'!$C$5:$C$10</c:f>
              <c:numCache>
                <c:formatCode>#,##0</c:formatCode>
                <c:ptCount val="6"/>
                <c:pt idx="0">
                  <c:v>2251</c:v>
                </c:pt>
                <c:pt idx="1">
                  <c:v>2366</c:v>
                </c:pt>
                <c:pt idx="2">
                  <c:v>2039</c:v>
                </c:pt>
                <c:pt idx="3">
                  <c:v>2445</c:v>
                </c:pt>
                <c:pt idx="4">
                  <c:v>3073</c:v>
                </c:pt>
                <c:pt idx="5">
                  <c:v>2969</c:v>
                </c:pt>
              </c:numCache>
            </c:numRef>
          </c:val>
        </c:ser>
        <c:ser>
          <c:idx val="1"/>
          <c:order val="1"/>
          <c:tx>
            <c:strRef>
              <c:f>'Code Enforcement Inspections'!$D$4</c:f>
              <c:strCache>
                <c:ptCount val="1"/>
                <c:pt idx="0">
                  <c:v>On-site Sewage </c:v>
                </c:pt>
              </c:strCache>
            </c:strRef>
          </c:tx>
          <c:dLbls>
            <c:showVal val="1"/>
          </c:dLbls>
          <c:cat>
            <c:strRef>
              <c:f>'Code Enforcement Inspections'!$A$5:$B$10</c:f>
              <c:strCach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</c:strCache>
            </c:strRef>
          </c:cat>
          <c:val>
            <c:numRef>
              <c:f>'Code Enforcement Inspections'!$D$5:$D$10</c:f>
              <c:numCache>
                <c:formatCode>General</c:formatCode>
                <c:ptCount val="6"/>
                <c:pt idx="2">
                  <c:v>603</c:v>
                </c:pt>
                <c:pt idx="3">
                  <c:v>483</c:v>
                </c:pt>
                <c:pt idx="4">
                  <c:v>626</c:v>
                </c:pt>
                <c:pt idx="5">
                  <c:v>750</c:v>
                </c:pt>
              </c:numCache>
            </c:numRef>
          </c:val>
        </c:ser>
        <c:gapWidth val="53"/>
        <c:overlap val="100"/>
        <c:axId val="61809792"/>
        <c:axId val="61811328"/>
      </c:barChart>
      <c:catAx>
        <c:axId val="61809792"/>
        <c:scaling>
          <c:orientation val="minMax"/>
        </c:scaling>
        <c:axPos val="b"/>
        <c:tickLblPos val="nextTo"/>
        <c:crossAx val="61811328"/>
        <c:crosses val="autoZero"/>
        <c:auto val="1"/>
        <c:lblAlgn val="ctr"/>
        <c:lblOffset val="100"/>
      </c:catAx>
      <c:valAx>
        <c:axId val="61811328"/>
        <c:scaling>
          <c:orientation val="minMax"/>
        </c:scaling>
        <c:axPos val="l"/>
        <c:majorGridlines/>
        <c:numFmt formatCode="#,##0" sourceLinked="1"/>
        <c:tickLblPos val="nextTo"/>
        <c:crossAx val="6180979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b="1" i="0" baseline="0"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plotArea>
      <c:layout/>
      <c:barChart>
        <c:barDir val="col"/>
        <c:grouping val="stacked"/>
        <c:ser>
          <c:idx val="0"/>
          <c:order val="0"/>
          <c:tx>
            <c:strRef>
              <c:f>'Average days to resolution'!$B$2</c:f>
              <c:strCache>
                <c:ptCount val="1"/>
                <c:pt idx="0">
                  <c:v>Average Days to Case Resolution</c:v>
                </c:pt>
              </c:strCache>
            </c:strRef>
          </c:tx>
          <c:cat>
            <c:numRef>
              <c:f>'Average days to resolution'!$A$3:$A$32</c:f>
              <c:numCache>
                <c:formatCode>General</c:formatCode>
                <c:ptCount val="30"/>
                <c:pt idx="3">
                  <c:v>2005</c:v>
                </c:pt>
                <c:pt idx="8">
                  <c:v>2006</c:v>
                </c:pt>
                <c:pt idx="13">
                  <c:v>2007</c:v>
                </c:pt>
                <c:pt idx="18">
                  <c:v>2008</c:v>
                </c:pt>
                <c:pt idx="23">
                  <c:v>2009</c:v>
                </c:pt>
                <c:pt idx="28">
                  <c:v>2010</c:v>
                </c:pt>
              </c:numCache>
            </c:numRef>
          </c:cat>
          <c:val>
            <c:numRef>
              <c:f>'Average days to resolution'!$B$3:$B$32</c:f>
              <c:numCache>
                <c:formatCode>General</c:formatCode>
                <c:ptCount val="30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'Average days to resolution'!$C$2</c:f>
              <c:strCache>
                <c:ptCount val="1"/>
              </c:strCache>
            </c:strRef>
          </c:tx>
          <c:cat>
            <c:numRef>
              <c:f>'Average days to resolution'!$A$3:$A$32</c:f>
              <c:numCache>
                <c:formatCode>General</c:formatCode>
                <c:ptCount val="30"/>
                <c:pt idx="3">
                  <c:v>2005</c:v>
                </c:pt>
                <c:pt idx="8">
                  <c:v>2006</c:v>
                </c:pt>
                <c:pt idx="13">
                  <c:v>2007</c:v>
                </c:pt>
                <c:pt idx="18">
                  <c:v>2008</c:v>
                </c:pt>
                <c:pt idx="23">
                  <c:v>2009</c:v>
                </c:pt>
                <c:pt idx="28">
                  <c:v>2010</c:v>
                </c:pt>
              </c:numCache>
            </c:numRef>
          </c:cat>
          <c:val>
            <c:numRef>
              <c:f>'Average days to resolution'!$C$3:$C$32</c:f>
              <c:numCache>
                <c:formatCode>General</c:formatCode>
                <c:ptCount val="30"/>
                <c:pt idx="1">
                  <c:v>212</c:v>
                </c:pt>
                <c:pt idx="2">
                  <c:v>188</c:v>
                </c:pt>
                <c:pt idx="3">
                  <c:v>177</c:v>
                </c:pt>
                <c:pt idx="4">
                  <c:v>195</c:v>
                </c:pt>
                <c:pt idx="6">
                  <c:v>199</c:v>
                </c:pt>
                <c:pt idx="7">
                  <c:v>177</c:v>
                </c:pt>
                <c:pt idx="8">
                  <c:v>169</c:v>
                </c:pt>
                <c:pt idx="9">
                  <c:v>195</c:v>
                </c:pt>
                <c:pt idx="11">
                  <c:v>222</c:v>
                </c:pt>
                <c:pt idx="12">
                  <c:v>187</c:v>
                </c:pt>
                <c:pt idx="13">
                  <c:v>189</c:v>
                </c:pt>
                <c:pt idx="14">
                  <c:v>150</c:v>
                </c:pt>
                <c:pt idx="16">
                  <c:v>209</c:v>
                </c:pt>
                <c:pt idx="17">
                  <c:v>136</c:v>
                </c:pt>
                <c:pt idx="18">
                  <c:v>98</c:v>
                </c:pt>
                <c:pt idx="19">
                  <c:v>98</c:v>
                </c:pt>
                <c:pt idx="21">
                  <c:v>101</c:v>
                </c:pt>
                <c:pt idx="22">
                  <c:v>90</c:v>
                </c:pt>
                <c:pt idx="23">
                  <c:v>75</c:v>
                </c:pt>
                <c:pt idx="24">
                  <c:v>77</c:v>
                </c:pt>
                <c:pt idx="26">
                  <c:v>75</c:v>
                </c:pt>
                <c:pt idx="27">
                  <c:v>53</c:v>
                </c:pt>
                <c:pt idx="28">
                  <c:v>43</c:v>
                </c:pt>
                <c:pt idx="29">
                  <c:v>32</c:v>
                </c:pt>
              </c:numCache>
            </c:numRef>
          </c:val>
        </c:ser>
        <c:ser>
          <c:idx val="2"/>
          <c:order val="2"/>
          <c:tx>
            <c:strRef>
              <c:f>'Average days to resolution'!$D$2</c:f>
              <c:strCache>
                <c:ptCount val="1"/>
              </c:strCache>
            </c:strRef>
          </c:tx>
          <c:cat>
            <c:numRef>
              <c:f>'Average days to resolution'!$A$3:$A$32</c:f>
              <c:numCache>
                <c:formatCode>General</c:formatCode>
                <c:ptCount val="30"/>
                <c:pt idx="3">
                  <c:v>2005</c:v>
                </c:pt>
                <c:pt idx="8">
                  <c:v>2006</c:v>
                </c:pt>
                <c:pt idx="13">
                  <c:v>2007</c:v>
                </c:pt>
                <c:pt idx="18">
                  <c:v>2008</c:v>
                </c:pt>
                <c:pt idx="23">
                  <c:v>2009</c:v>
                </c:pt>
                <c:pt idx="28">
                  <c:v>2010</c:v>
                </c:pt>
              </c:numCache>
            </c:numRef>
          </c:cat>
          <c:val>
            <c:numRef>
              <c:f>'Average days to resolution'!$D$3:$D$32</c:f>
              <c:numCache>
                <c:formatCode>General</c:formatCode>
                <c:ptCount val="30"/>
              </c:numCache>
            </c:numRef>
          </c:val>
        </c:ser>
        <c:gapWidth val="31"/>
        <c:overlap val="100"/>
        <c:axId val="61844864"/>
        <c:axId val="61850752"/>
      </c:barChart>
      <c:catAx>
        <c:axId val="61844864"/>
        <c:scaling>
          <c:orientation val="minMax"/>
        </c:scaling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61850752"/>
        <c:crosses val="autoZero"/>
        <c:auto val="1"/>
        <c:lblAlgn val="ctr"/>
        <c:lblOffset val="100"/>
      </c:catAx>
      <c:valAx>
        <c:axId val="61850752"/>
        <c:scaling>
          <c:orientation val="minMax"/>
        </c:scaling>
        <c:axPos val="l"/>
        <c:majorGridlines/>
        <c:numFmt formatCode="General" sourceLinked="0"/>
        <c:minorTickMark val="out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61844864"/>
        <c:crosses val="autoZero"/>
        <c:crossBetween val="between"/>
      </c:valAx>
    </c:plotArea>
    <c:plotVisOnly val="1"/>
  </c:chart>
  <c:spPr>
    <a:ln w="25400">
      <a:solidFill>
        <a:schemeClr val="tx1"/>
      </a:solidFill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0.18056</cdr:y>
    </cdr:from>
    <cdr:to>
      <cdr:x>0.1373</cdr:x>
      <cdr:y>0.27083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95300"/>
          <a:ext cx="6381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/>
            <a:t># Cases	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0.19966</cdr:x>
      <cdr:y>0.01039</cdr:y>
    </cdr:from>
    <cdr:to>
      <cdr:x>0.68675</cdr:x>
      <cdr:y>0.02597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04901" y="30481"/>
          <a:ext cx="2695575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C501-4D7F-4062-9667-CD718FD4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jsherman</dc:creator>
  <cp:keywords/>
  <dc:description/>
  <cp:lastModifiedBy>spfeifer</cp:lastModifiedBy>
  <cp:revision>2</cp:revision>
  <cp:lastPrinted>2011-04-26T18:45:00Z</cp:lastPrinted>
  <dcterms:created xsi:type="dcterms:W3CDTF">2011-05-17T17:55:00Z</dcterms:created>
  <dcterms:modified xsi:type="dcterms:W3CDTF">2011-05-17T17:55:00Z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-641409115</vt:i4>
  </property>
  <property fmtid="{D5CDD505-2E9C-101B-9397-08002B2CF9AE}" pid="3" name="_NewReviewCycle">
    <vt:lpwstr/>
  </property>
  <property fmtid="{D5CDD505-2E9C-101B-9397-08002B2CF9AE}" pid="4" name="_EmailSubject">
    <vt:lpwstr>Solid waste QI project</vt:lpwstr>
  </property>
  <property fmtid="{D5CDD505-2E9C-101B-9397-08002B2CF9AE}" pid="5" name="_AuthorEmail">
    <vt:lpwstr>CGizzi@tpchd.org</vt:lpwstr>
  </property>
  <property fmtid="{D5CDD505-2E9C-101B-9397-08002B2CF9AE}" pid="6" name="_AuthorEmailDisplayName">
    <vt:lpwstr>Cindan Gizzi</vt:lpwstr>
  </property>
  <property fmtid="{D5CDD505-2E9C-101B-9397-08002B2CF9AE}" pid="7" name="_PreviousAdHocReviewCycleID">
    <vt:i4>1159472306</vt:i4>
  </property>
</Properties>
</file>