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4F" w:rsidRPr="00614B4F" w:rsidRDefault="00614B4F" w:rsidP="00614B4F">
      <w:pPr>
        <w:pStyle w:val="NoSpacing"/>
        <w:jc w:val="center"/>
        <w:rPr>
          <w:rFonts w:asciiTheme="majorHAnsi" w:hAnsiTheme="majorHAnsi"/>
          <w:b/>
          <w:color w:val="9BBB59" w:themeColor="accent3"/>
          <w:sz w:val="72"/>
        </w:rPr>
      </w:pPr>
      <w:r w:rsidRPr="00614B4F">
        <w:rPr>
          <w:rFonts w:asciiTheme="majorHAnsi" w:hAnsiTheme="majorHAnsi"/>
          <w:b/>
          <w:color w:val="9BBB59" w:themeColor="accent3"/>
          <w:sz w:val="72"/>
        </w:rPr>
        <w:t>CGCDPH Total Doses Administered</w:t>
      </w:r>
    </w:p>
    <w:p w:rsidR="00614B4F" w:rsidRDefault="00614B4F" w:rsidP="00614B4F">
      <w:pPr>
        <w:pStyle w:val="NoSpacing"/>
        <w:jc w:val="center"/>
        <w:rPr>
          <w:rFonts w:asciiTheme="majorHAnsi" w:hAnsiTheme="majorHAnsi"/>
          <w:i/>
          <w:sz w:val="48"/>
        </w:rPr>
      </w:pPr>
      <w:r w:rsidRPr="00614B4F">
        <w:rPr>
          <w:rFonts w:asciiTheme="majorHAnsi" w:hAnsiTheme="majorHAnsi"/>
          <w:i/>
          <w:sz w:val="48"/>
        </w:rPr>
        <w:t>Adults 65 years of age and older</w:t>
      </w:r>
    </w:p>
    <w:p w:rsidR="00614B4F" w:rsidRDefault="00614B4F" w:rsidP="00614B4F">
      <w:pPr>
        <w:pStyle w:val="NoSpacing"/>
        <w:jc w:val="center"/>
        <w:rPr>
          <w:rFonts w:asciiTheme="majorHAnsi" w:hAnsiTheme="majorHAnsi"/>
          <w:i/>
          <w:sz w:val="48"/>
        </w:rPr>
      </w:pPr>
    </w:p>
    <w:tbl>
      <w:tblPr>
        <w:tblStyle w:val="TableGrid"/>
        <w:tblpPr w:leftFromText="180" w:rightFromText="180" w:vertAnchor="text" w:horzAnchor="margin" w:tblpX="468" w:tblpY="90"/>
        <w:tblW w:w="0" w:type="auto"/>
        <w:tblLook w:val="04A0" w:firstRow="1" w:lastRow="0" w:firstColumn="1" w:lastColumn="0" w:noHBand="0" w:noVBand="1"/>
      </w:tblPr>
      <w:tblGrid>
        <w:gridCol w:w="5291"/>
        <w:gridCol w:w="3942"/>
        <w:gridCol w:w="4155"/>
      </w:tblGrid>
      <w:tr w:rsidR="00614B4F" w:rsidRPr="00011A73" w:rsidTr="00614B4F">
        <w:trPr>
          <w:trHeight w:val="710"/>
        </w:trPr>
        <w:tc>
          <w:tcPr>
            <w:tcW w:w="5291" w:type="dxa"/>
          </w:tcPr>
          <w:p w:rsidR="00614B4F" w:rsidRPr="00011A73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96"/>
                <w:szCs w:val="24"/>
              </w:rPr>
            </w:pPr>
          </w:p>
        </w:tc>
        <w:tc>
          <w:tcPr>
            <w:tcW w:w="3942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24"/>
              </w:rPr>
            </w:pPr>
            <w:r w:rsidRPr="00614B4F">
              <w:rPr>
                <w:rFonts w:asciiTheme="majorHAnsi" w:hAnsiTheme="majorHAnsi"/>
                <w:b/>
                <w:sz w:val="56"/>
                <w:szCs w:val="24"/>
              </w:rPr>
              <w:t>2014*</w:t>
            </w:r>
          </w:p>
        </w:tc>
        <w:tc>
          <w:tcPr>
            <w:tcW w:w="4155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24"/>
              </w:rPr>
            </w:pPr>
            <w:r w:rsidRPr="00614B4F">
              <w:rPr>
                <w:rFonts w:asciiTheme="majorHAnsi" w:hAnsiTheme="majorHAnsi"/>
                <w:b/>
                <w:sz w:val="56"/>
                <w:szCs w:val="24"/>
              </w:rPr>
              <w:t>2015^</w:t>
            </w:r>
          </w:p>
        </w:tc>
      </w:tr>
      <w:tr w:rsidR="00614B4F" w:rsidRPr="00011A73" w:rsidTr="00614B4F">
        <w:trPr>
          <w:trHeight w:val="632"/>
        </w:trPr>
        <w:tc>
          <w:tcPr>
            <w:tcW w:w="5291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PPSV23</w:t>
            </w:r>
          </w:p>
        </w:tc>
        <w:tc>
          <w:tcPr>
            <w:tcW w:w="3942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43</w:t>
            </w:r>
          </w:p>
        </w:tc>
        <w:tc>
          <w:tcPr>
            <w:tcW w:w="4155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8</w:t>
            </w:r>
          </w:p>
        </w:tc>
      </w:tr>
      <w:tr w:rsidR="00614B4F" w:rsidRPr="00011A73" w:rsidTr="00614B4F">
        <w:trPr>
          <w:trHeight w:val="670"/>
        </w:trPr>
        <w:tc>
          <w:tcPr>
            <w:tcW w:w="5291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PCV13</w:t>
            </w:r>
          </w:p>
        </w:tc>
        <w:tc>
          <w:tcPr>
            <w:tcW w:w="3942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9</w:t>
            </w:r>
          </w:p>
        </w:tc>
        <w:tc>
          <w:tcPr>
            <w:tcW w:w="4155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424</w:t>
            </w:r>
          </w:p>
        </w:tc>
      </w:tr>
      <w:tr w:rsidR="00614B4F" w:rsidRPr="00011A73" w:rsidTr="00614B4F">
        <w:trPr>
          <w:trHeight w:val="670"/>
        </w:trPr>
        <w:tc>
          <w:tcPr>
            <w:tcW w:w="5291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2"/>
                <w:szCs w:val="24"/>
              </w:rPr>
            </w:pPr>
            <w:r w:rsidRPr="00614B4F">
              <w:rPr>
                <w:rFonts w:asciiTheme="majorHAnsi" w:hAnsiTheme="majorHAnsi"/>
                <w:b/>
                <w:sz w:val="52"/>
                <w:szCs w:val="24"/>
              </w:rPr>
              <w:t>Total Doses</w:t>
            </w:r>
          </w:p>
        </w:tc>
        <w:tc>
          <w:tcPr>
            <w:tcW w:w="3942" w:type="dxa"/>
          </w:tcPr>
          <w:p w:rsidR="00614B4F" w:rsidRPr="00614B4F" w:rsidRDefault="00614B4F" w:rsidP="00614B4F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24"/>
              </w:rPr>
            </w:pPr>
            <w:r w:rsidRPr="00614B4F">
              <w:rPr>
                <w:rFonts w:asciiTheme="majorHAnsi" w:hAnsiTheme="majorHAnsi"/>
                <w:b/>
                <w:color w:val="31849B" w:themeColor="accent5" w:themeShade="BF"/>
                <w:sz w:val="56"/>
                <w:szCs w:val="24"/>
              </w:rPr>
              <w:t>52-</w:t>
            </w:r>
          </w:p>
        </w:tc>
        <w:tc>
          <w:tcPr>
            <w:tcW w:w="4155" w:type="dxa"/>
          </w:tcPr>
          <w:p w:rsidR="00614B4F" w:rsidRPr="00614B4F" w:rsidRDefault="000E072C" w:rsidP="00614B4F">
            <w:pPr>
              <w:pStyle w:val="NoSpacing"/>
              <w:jc w:val="center"/>
              <w:rPr>
                <w:rFonts w:asciiTheme="majorHAnsi" w:hAnsiTheme="majorHAnsi"/>
                <w:b/>
                <w:sz w:val="56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9BBB59" w:themeColor="accent3"/>
                <w:sz w:val="5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371475</wp:posOffset>
                      </wp:positionV>
                      <wp:extent cx="1036320" cy="1409700"/>
                      <wp:effectExtent l="19050" t="19050" r="11430" b="1905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14097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72C" w:rsidRPr="000E072C" w:rsidRDefault="000E072C" w:rsidP="000E072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</w:rPr>
                                  </w:pPr>
                                  <w:r w:rsidRPr="000E072C">
                                    <w:rPr>
                                      <w:rFonts w:asciiTheme="majorHAnsi" w:hAnsiTheme="majorHAnsi"/>
                                      <w:b/>
                                      <w:sz w:val="44"/>
                                    </w:rPr>
                                    <w:t>QI</w:t>
                                  </w:r>
                                </w:p>
                                <w:p w:rsidR="000E072C" w:rsidRDefault="000E072C" w:rsidP="000E072C"/>
                                <w:p w:rsidR="000E072C" w:rsidRDefault="000E072C" w:rsidP="000E07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left:0;text-align:left;margin-left:56.2pt;margin-top:29.25pt;width:81.6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" adj="7939" fillcolor="#9bbb59 [3206]" strokecolor="#4e6128 [1606]" strokeweight="2pt">
                      <v:textbox>
                        <w:txbxContent>
                          <w:p w:rsidR="000E072C" w:rsidRPr="000E072C" w:rsidRDefault="000E072C" w:rsidP="000E07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0E072C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QI</w:t>
                            </w:r>
                          </w:p>
                          <w:p w:rsidR="000E072C" w:rsidRDefault="000E072C" w:rsidP="000E072C"/>
                          <w:p w:rsidR="000E072C" w:rsidRDefault="000E072C" w:rsidP="000E072C"/>
                        </w:txbxContent>
                      </v:textbox>
                    </v:shape>
                  </w:pict>
                </mc:Fallback>
              </mc:AlternateContent>
            </w:r>
            <w:r w:rsidR="00614B4F" w:rsidRPr="00614B4F">
              <w:rPr>
                <w:rFonts w:asciiTheme="majorHAnsi" w:hAnsiTheme="majorHAnsi"/>
                <w:b/>
                <w:color w:val="9BBB59" w:themeColor="accent3"/>
                <w:sz w:val="56"/>
                <w:szCs w:val="24"/>
              </w:rPr>
              <w:t>432+</w:t>
            </w:r>
          </w:p>
        </w:tc>
      </w:tr>
    </w:tbl>
    <w:p w:rsidR="00614B4F" w:rsidRPr="00614B4F" w:rsidRDefault="00614B4F" w:rsidP="00614B4F">
      <w:pPr>
        <w:pStyle w:val="NoSpacing"/>
        <w:jc w:val="center"/>
        <w:rPr>
          <w:rFonts w:asciiTheme="majorHAnsi" w:hAnsiTheme="majorHAnsi"/>
          <w:sz w:val="48"/>
        </w:rPr>
      </w:pPr>
    </w:p>
    <w:p w:rsidR="00614B4F" w:rsidRDefault="00614B4F" w:rsidP="00614B4F">
      <w:pPr>
        <w:pStyle w:val="NoSpacing"/>
        <w:jc w:val="center"/>
        <w:rPr>
          <w:rFonts w:asciiTheme="majorHAnsi" w:hAnsiTheme="majorHAnsi"/>
          <w:i/>
          <w:sz w:val="48"/>
        </w:rPr>
      </w:pPr>
    </w:p>
    <w:p w:rsidR="00614B4F" w:rsidRDefault="00614B4F" w:rsidP="00614B4F">
      <w:pPr>
        <w:pStyle w:val="NoSpacing"/>
        <w:jc w:val="center"/>
        <w:rPr>
          <w:rFonts w:asciiTheme="majorHAnsi" w:hAnsiTheme="majorHAnsi"/>
          <w:i/>
          <w:sz w:val="48"/>
        </w:rPr>
      </w:pPr>
    </w:p>
    <w:p w:rsidR="00614B4F" w:rsidRDefault="00614B4F" w:rsidP="00614B4F">
      <w:pPr>
        <w:pStyle w:val="NoSpacing"/>
        <w:rPr>
          <w:rFonts w:asciiTheme="majorHAnsi" w:hAnsiTheme="majorHAnsi"/>
          <w:b/>
          <w:sz w:val="36"/>
        </w:rPr>
      </w:pPr>
    </w:p>
    <w:p w:rsidR="00614B4F" w:rsidRDefault="00614B4F" w:rsidP="00614B4F">
      <w:pPr>
        <w:pStyle w:val="NoSpacing"/>
        <w:rPr>
          <w:rFonts w:asciiTheme="majorHAnsi" w:hAnsiTheme="majorHAnsi"/>
          <w:b/>
          <w:sz w:val="36"/>
        </w:rPr>
      </w:pPr>
    </w:p>
    <w:p w:rsidR="00614B4F" w:rsidRDefault="00614B4F" w:rsidP="00614B4F">
      <w:pPr>
        <w:pStyle w:val="NoSpacing"/>
        <w:rPr>
          <w:rFonts w:asciiTheme="majorHAnsi" w:hAnsiTheme="majorHAnsi"/>
          <w:b/>
          <w:sz w:val="36"/>
        </w:rPr>
      </w:pPr>
    </w:p>
    <w:p w:rsidR="00614B4F" w:rsidRDefault="00614B4F" w:rsidP="00614B4F">
      <w:pPr>
        <w:pStyle w:val="NoSpacing"/>
        <w:rPr>
          <w:rFonts w:asciiTheme="majorHAnsi" w:hAnsiTheme="majorHAnsi"/>
          <w:b/>
          <w:sz w:val="36"/>
        </w:rPr>
      </w:pPr>
    </w:p>
    <w:p w:rsidR="00614B4F" w:rsidRDefault="00614B4F" w:rsidP="00614B4F">
      <w:pPr>
        <w:pStyle w:val="NoSpacing"/>
        <w:rPr>
          <w:rFonts w:asciiTheme="majorHAnsi" w:hAnsiTheme="majorHAnsi"/>
          <w:b/>
          <w:sz w:val="36"/>
        </w:rPr>
      </w:pPr>
    </w:p>
    <w:p w:rsidR="00614B4F" w:rsidRPr="004E61B9" w:rsidRDefault="00614B4F" w:rsidP="00614B4F">
      <w:pPr>
        <w:pStyle w:val="NoSpacing"/>
        <w:rPr>
          <w:rFonts w:asciiTheme="majorHAnsi" w:hAnsiTheme="majorHAnsi"/>
          <w:b/>
          <w:sz w:val="36"/>
        </w:rPr>
      </w:pPr>
      <w:r w:rsidRPr="004E61B9">
        <w:rPr>
          <w:rFonts w:asciiTheme="majorHAnsi" w:hAnsiTheme="majorHAnsi"/>
          <w:b/>
          <w:sz w:val="36"/>
        </w:rPr>
        <w:t xml:space="preserve">Key: </w:t>
      </w:r>
    </w:p>
    <w:p w:rsidR="00614B4F" w:rsidRPr="004E61B9" w:rsidRDefault="00614B4F" w:rsidP="00614B4F">
      <w:pPr>
        <w:pStyle w:val="NoSpacing"/>
        <w:rPr>
          <w:rFonts w:asciiTheme="majorHAnsi" w:hAnsiTheme="majorHAnsi"/>
          <w:sz w:val="36"/>
        </w:rPr>
      </w:pPr>
      <w:r w:rsidRPr="004E61B9">
        <w:rPr>
          <w:rFonts w:asciiTheme="majorHAnsi" w:hAnsiTheme="majorHAnsi"/>
          <w:b/>
          <w:sz w:val="36"/>
        </w:rPr>
        <w:t>*</w:t>
      </w:r>
      <w:r w:rsidRPr="004E61B9">
        <w:rPr>
          <w:rFonts w:asciiTheme="majorHAnsi" w:hAnsiTheme="majorHAnsi"/>
          <w:sz w:val="36"/>
        </w:rPr>
        <w:t>July 1, 2014 - January 31, 2015</w:t>
      </w:r>
      <w:bookmarkStart w:id="0" w:name="_GoBack"/>
      <w:bookmarkEnd w:id="0"/>
    </w:p>
    <w:p w:rsidR="00614B4F" w:rsidRDefault="00614B4F" w:rsidP="00614B4F">
      <w:pPr>
        <w:pStyle w:val="NoSpacing"/>
        <w:rPr>
          <w:rFonts w:asciiTheme="majorHAnsi" w:hAnsiTheme="majorHAnsi"/>
          <w:sz w:val="36"/>
        </w:rPr>
      </w:pPr>
      <w:r w:rsidRPr="004E61B9">
        <w:rPr>
          <w:rFonts w:asciiTheme="majorHAnsi" w:hAnsiTheme="majorHAnsi"/>
          <w:b/>
          <w:sz w:val="36"/>
        </w:rPr>
        <w:t>^</w:t>
      </w:r>
      <w:r w:rsidRPr="004E61B9">
        <w:rPr>
          <w:rFonts w:asciiTheme="majorHAnsi" w:hAnsiTheme="majorHAnsi"/>
          <w:sz w:val="36"/>
        </w:rPr>
        <w:t>July 1, 2015 - January 31, 2016</w:t>
      </w:r>
    </w:p>
    <w:p w:rsidR="00614B4F" w:rsidRPr="004E61B9" w:rsidRDefault="00614B4F" w:rsidP="00614B4F">
      <w:pPr>
        <w:pStyle w:val="NoSpacing"/>
        <w:rPr>
          <w:rFonts w:asciiTheme="majorHAnsi" w:hAnsiTheme="majorHAnsi"/>
          <w:sz w:val="36"/>
        </w:rPr>
      </w:pPr>
    </w:p>
    <w:p w:rsidR="00614B4F" w:rsidRPr="00614B4F" w:rsidRDefault="00614B4F" w:rsidP="00614B4F">
      <w:pPr>
        <w:pStyle w:val="NoSpacing"/>
        <w:rPr>
          <w:rFonts w:asciiTheme="majorHAnsi" w:hAnsiTheme="majorHAnsi"/>
          <w:b/>
          <w:sz w:val="40"/>
          <w:szCs w:val="60"/>
        </w:rPr>
      </w:pPr>
      <w:r w:rsidRPr="00614B4F">
        <w:rPr>
          <w:rFonts w:asciiTheme="majorHAnsi" w:hAnsiTheme="majorHAnsi"/>
          <w:b/>
          <w:color w:val="9BBB59" w:themeColor="accent3"/>
          <w:sz w:val="40"/>
          <w:szCs w:val="60"/>
        </w:rPr>
        <w:t>+Of the 432 total pneumococcal doses administered during the QI Project, 44% of adults aged 65 years and older served by CGCDPH received a pneumococcal vaccination.</w:t>
      </w:r>
    </w:p>
    <w:p w:rsidR="00614B4F" w:rsidRPr="00614B4F" w:rsidRDefault="00614B4F" w:rsidP="00614B4F">
      <w:pPr>
        <w:pStyle w:val="NoSpacing"/>
        <w:rPr>
          <w:rFonts w:asciiTheme="majorHAnsi" w:hAnsiTheme="majorHAnsi"/>
          <w:b/>
          <w:color w:val="31849B" w:themeColor="accent5" w:themeShade="BF"/>
          <w:sz w:val="40"/>
          <w:szCs w:val="60"/>
        </w:rPr>
      </w:pPr>
      <w:r w:rsidRPr="00614B4F">
        <w:rPr>
          <w:rFonts w:asciiTheme="majorHAnsi" w:hAnsiTheme="majorHAnsi"/>
          <w:b/>
          <w:color w:val="31849B" w:themeColor="accent5" w:themeShade="BF"/>
          <w:sz w:val="40"/>
          <w:szCs w:val="60"/>
        </w:rPr>
        <w:t>-Of the 52 total pneumococcal doses administered the previous year by CGCDPH only 4% of adults aged 65 years and older received a pneumococcal vaccine.</w:t>
      </w:r>
    </w:p>
    <w:p w:rsidR="00B7302F" w:rsidRPr="00614B4F" w:rsidRDefault="000E072C">
      <w:pPr>
        <w:rPr>
          <w:rFonts w:asciiTheme="majorHAnsi" w:hAnsiTheme="majorHAnsi"/>
        </w:rPr>
      </w:pPr>
    </w:p>
    <w:sectPr w:rsidR="00B7302F" w:rsidRPr="00614B4F" w:rsidSect="00614B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F5"/>
    <w:multiLevelType w:val="hybridMultilevel"/>
    <w:tmpl w:val="4382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F"/>
    <w:rsid w:val="000E072C"/>
    <w:rsid w:val="00614B4F"/>
    <w:rsid w:val="009B0749"/>
    <w:rsid w:val="00A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B4F"/>
    <w:pPr>
      <w:spacing w:after="0" w:line="240" w:lineRule="auto"/>
    </w:pPr>
  </w:style>
  <w:style w:type="table" w:styleId="TableGrid">
    <w:name w:val="Table Grid"/>
    <w:basedOn w:val="TableNormal"/>
    <w:uiPriority w:val="59"/>
    <w:rsid w:val="0061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B4F"/>
    <w:pPr>
      <w:spacing w:after="0" w:line="240" w:lineRule="auto"/>
    </w:pPr>
  </w:style>
  <w:style w:type="table" w:styleId="TableGrid">
    <w:name w:val="Table Grid"/>
    <w:basedOn w:val="TableNormal"/>
    <w:uiPriority w:val="59"/>
    <w:rsid w:val="0061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Aberg</dc:creator>
  <cp:lastModifiedBy>Bethany Aberg</cp:lastModifiedBy>
  <cp:revision>2</cp:revision>
  <cp:lastPrinted>2016-04-21T15:15:00Z</cp:lastPrinted>
  <dcterms:created xsi:type="dcterms:W3CDTF">2016-04-21T15:14:00Z</dcterms:created>
  <dcterms:modified xsi:type="dcterms:W3CDTF">2016-04-21T15:28:00Z</dcterms:modified>
</cp:coreProperties>
</file>